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622" w:type="dxa"/>
        <w:tblInd w:w="76" w:type="dxa"/>
        <w:tblLayout w:type="fixed"/>
        <w:tblCellMar>
          <w:left w:w="10" w:type="dxa"/>
          <w:right w:w="10" w:type="dxa"/>
        </w:tblCellMar>
        <w:tblLook w:val="0000"/>
      </w:tblPr>
      <w:tblGrid>
        <w:gridCol w:w="16686"/>
        <w:gridCol w:w="1936"/>
      </w:tblGrid>
      <w:tr w:rsidR="006E66A4" w:rsidTr="006E66A4">
        <w:tblPrEx>
          <w:tblCellMar>
            <w:top w:w="0" w:type="dxa"/>
            <w:bottom w:w="0" w:type="dxa"/>
          </w:tblCellMar>
        </w:tblPrEx>
        <w:trPr>
          <w:trHeight w:val="311"/>
        </w:trPr>
        <w:tc>
          <w:tcPr>
            <w:tcW w:w="16686" w:type="dxa"/>
            <w:tcMar>
              <w:top w:w="0" w:type="dxa"/>
              <w:left w:w="0" w:type="dxa"/>
              <w:bottom w:w="0" w:type="dxa"/>
              <w:right w:w="0" w:type="dxa"/>
            </w:tcMar>
          </w:tcPr>
          <w:p w:rsidR="006E66A4" w:rsidRDefault="00B84EA5">
            <w:pPr>
              <w:pStyle w:val="Standard"/>
              <w:snapToGrid w:val="0"/>
              <w:jc w:val="center"/>
              <w:rPr>
                <w:sz w:val="40"/>
                <w:szCs w:val="40"/>
              </w:rPr>
            </w:pPr>
            <w:r>
              <w:rPr>
                <w:rFonts w:ascii="Garamond" w:hAnsi="Garamond"/>
                <w:b/>
                <w:smallCaps/>
                <w:color w:val="000000"/>
                <w:sz w:val="40"/>
                <w:szCs w:val="40"/>
                <w:lang w:val="en-US"/>
              </w:rPr>
              <w:t>Ethical Reasoning</w:t>
            </w:r>
            <w:r>
              <w:rPr>
                <w:rFonts w:ascii="Garamond" w:hAnsi="Garamond"/>
                <w:b/>
                <w:smallCaps/>
                <w:color w:val="000000"/>
                <w:sz w:val="40"/>
                <w:szCs w:val="40"/>
              </w:rPr>
              <w:t xml:space="preserve"> VALUE Rubric</w:t>
            </w:r>
          </w:p>
          <w:p w:rsidR="006E66A4" w:rsidRDefault="00B84EA5">
            <w:pPr>
              <w:pStyle w:val="Standard"/>
              <w:snapToGrid w:val="0"/>
              <w:jc w:val="center"/>
            </w:pPr>
            <w:r>
              <w:rPr>
                <w:rFonts w:ascii="Garamond" w:eastAsia="Helvetica" w:hAnsi="Garamond" w:cs="Helvetica"/>
                <w:i/>
                <w:lang w:val="en-US"/>
              </w:rPr>
              <w:t>f</w:t>
            </w:r>
            <w:r>
              <w:rPr>
                <w:rFonts w:ascii="Garamond" w:eastAsia="Helvetica" w:hAnsi="Garamond" w:cs="Helvetica"/>
                <w:i/>
              </w:rPr>
              <w:t>or more information</w:t>
            </w:r>
            <w:r>
              <w:rPr>
                <w:rFonts w:ascii="Garamond" w:eastAsia="Helvetica" w:hAnsi="Garamond" w:cs="Helvetica"/>
                <w:i/>
                <w:lang w:val="en-US"/>
              </w:rPr>
              <w:t xml:space="preserve">, </w:t>
            </w:r>
            <w:r>
              <w:rPr>
                <w:rFonts w:ascii="Garamond" w:eastAsia="Helvetica" w:hAnsi="Garamond" w:cs="Helvetica"/>
                <w:i/>
              </w:rPr>
              <w:t xml:space="preserve">please </w:t>
            </w:r>
            <w:r>
              <w:rPr>
                <w:rFonts w:ascii="Garamond" w:eastAsia="Helvetica" w:hAnsi="Garamond" w:cs="Helvetica"/>
                <w:i/>
                <w:lang w:val="en-US"/>
              </w:rPr>
              <w:t>contact value</w:t>
            </w:r>
            <w:r>
              <w:rPr>
                <w:rFonts w:ascii="Garamond" w:eastAsia="Helvetica" w:hAnsi="Garamond" w:cs="Helvetica"/>
                <w:i/>
              </w:rPr>
              <w:t>@</w:t>
            </w:r>
            <w:r>
              <w:rPr>
                <w:rFonts w:ascii="Garamond" w:eastAsia="Helvetica" w:hAnsi="Garamond" w:cs="Helvetica"/>
                <w:i/>
                <w:lang w:val="en-US"/>
              </w:rPr>
              <w:t>aacu.org</w:t>
            </w:r>
          </w:p>
        </w:tc>
        <w:tc>
          <w:tcPr>
            <w:tcW w:w="1936" w:type="dxa"/>
            <w:tcMar>
              <w:top w:w="0" w:type="dxa"/>
              <w:left w:w="0" w:type="dxa"/>
              <w:bottom w:w="0" w:type="dxa"/>
              <w:right w:w="0" w:type="dxa"/>
            </w:tcMar>
          </w:tcPr>
          <w:p w:rsidR="006E66A4" w:rsidRDefault="00053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0"/>
                <w:szCs w:val="20"/>
              </w:rPr>
            </w:pPr>
            <w:r w:rsidRPr="00053C04">
              <w:rPr>
                <w:rFonts w:ascii="Garamond" w:hAnsi="Garamond"/>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s1" o:spid="_x0000_i1025" type="#_x0000_t75" style="width:90pt;height:47.25pt;visibility:visible" filled="t">
                  <v:imagedata r:id="rId7" o:title=""/>
                </v:shape>
              </w:pict>
            </w:r>
          </w:p>
        </w:tc>
      </w:tr>
    </w:tbl>
    <w:p w:rsidR="006E66A4" w:rsidRDefault="006E66A4">
      <w:pPr>
        <w:pStyle w:val="Standard"/>
        <w:rPr>
          <w:rFonts w:ascii="Garamond" w:hAnsi="Garamond"/>
        </w:rPr>
      </w:pPr>
    </w:p>
    <w:p w:rsidR="006E66A4" w:rsidRDefault="00B84EA5">
      <w:pPr>
        <w:pStyle w:val="Standard"/>
        <w:rPr>
          <w:rFonts w:ascii="Garamond" w:hAnsi="Garamond"/>
        </w:rPr>
      </w:pPr>
      <w:r>
        <w:rPr>
          <w:rFonts w:ascii="Garamond" w:hAnsi="Garamond"/>
        </w:rPr>
        <w:tab/>
        <w:t>The VALUE rubrics were developed by teams of faculty experts representing colleges and universities across the United States through a process that examined many existing campus rubrics and related documents for each learning outcome and incorporated additional feedback from faculty. The rubrics articulate fundamental criteria for each learning outcome, with performance descriptors demonstrating progressively more sophisticated levels of attainment. The rubrics are intended for institutional-level use in evaluating and discussing student learning, not for grading. The core expectations articulated in all 15 of the VALUE rubrics can and should be translated into the language of individual campuses, disciplines, and even courses.  The utility of the VALUE rubrics is to position learning at all undergraduate levels within a basic framework of expectations such that evidence of learning can by shared nationally through a common dialog and understanding of student success.</w:t>
      </w:r>
    </w:p>
    <w:p w:rsidR="006E66A4" w:rsidRDefault="006E66A4">
      <w:pPr>
        <w:pStyle w:val="Standard"/>
        <w:rPr>
          <w:rFonts w:ascii="Garamond" w:hAnsi="Garamond"/>
        </w:rPr>
      </w:pPr>
    </w:p>
    <w:p w:rsidR="006E66A4" w:rsidRDefault="00B84EA5">
      <w:pPr>
        <w:pStyle w:val="Standard"/>
        <w:jc w:val="center"/>
        <w:rPr>
          <w:rFonts w:ascii="Garamond" w:hAnsi="Garamond"/>
          <w:b/>
          <w:bCs/>
        </w:rPr>
      </w:pPr>
      <w:r>
        <w:rPr>
          <w:rFonts w:ascii="Garamond" w:hAnsi="Garamond"/>
          <w:b/>
          <w:bCs/>
        </w:rPr>
        <w:t>Definition</w:t>
      </w:r>
    </w:p>
    <w:p w:rsidR="006E66A4" w:rsidRDefault="00B84EA5">
      <w:pPr>
        <w:pStyle w:val="Standard"/>
        <w:rPr>
          <w:rFonts w:ascii="Garamond" w:hAnsi="Garamond"/>
        </w:rPr>
      </w:pPr>
      <w:r>
        <w:rPr>
          <w:rFonts w:ascii="Garamond" w:hAnsi="Garamond"/>
        </w:rPr>
        <w:tab/>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 and consider the ramifications of alternative actions. Students’ ethical self identity evolves as they practice ethical decision-making skills and learn how to describe and analyze positions on ethical issues.</w:t>
      </w:r>
    </w:p>
    <w:p w:rsidR="006E66A4" w:rsidRDefault="006E66A4">
      <w:pPr>
        <w:pStyle w:val="Standard"/>
        <w:rPr>
          <w:rFonts w:ascii="Garamond" w:hAnsi="Garamond"/>
        </w:rPr>
      </w:pPr>
    </w:p>
    <w:p w:rsidR="006E66A4" w:rsidRDefault="00B84EA5">
      <w:pPr>
        <w:pStyle w:val="Standard"/>
        <w:jc w:val="center"/>
        <w:rPr>
          <w:rFonts w:ascii="Garamond" w:hAnsi="Garamond"/>
          <w:b/>
          <w:bCs/>
        </w:rPr>
      </w:pPr>
      <w:r>
        <w:rPr>
          <w:rFonts w:ascii="Garamond" w:hAnsi="Garamond"/>
          <w:b/>
          <w:bCs/>
        </w:rPr>
        <w:t>Framing Language</w:t>
      </w:r>
    </w:p>
    <w:p w:rsidR="006E66A4" w:rsidRDefault="00B84EA5">
      <w:pPr>
        <w:pStyle w:val="Standard"/>
        <w:rPr>
          <w:rFonts w:ascii="Garamond" w:hAnsi="Garamond"/>
        </w:rPr>
      </w:pPr>
      <w:r>
        <w:rPr>
          <w:rFonts w:ascii="Garamond" w:hAnsi="Garamond"/>
        </w:rPr>
        <w:tab/>
        <w:t>This rubric is intended to help faculty evaluate work samples and collections of work that demonstrate student learning about ethics. Although the goal of a liberal education should be to help students turn what they’ve learned in the classroom into action, pragmatically it would be difficult, if not impossible, to judge whether or not students would act ethically when faced with real ethical situations. What can be evaluated using a rubric is whether students have the intellectual tools to make ethical choices.</w:t>
      </w:r>
    </w:p>
    <w:p w:rsidR="006E66A4" w:rsidRDefault="00B84EA5">
      <w:pPr>
        <w:pStyle w:val="Standard"/>
        <w:rPr>
          <w:rFonts w:ascii="Garamond" w:hAnsi="Garamond"/>
        </w:rPr>
      </w:pPr>
      <w:r>
        <w:rPr>
          <w:rFonts w:ascii="Garamond" w:hAnsi="Garamond"/>
        </w:rPr>
        <w:tab/>
        <w:t>The rubric focuses on five elements: Ethical Self Awareness, Ethical Issue Recognition, Understanding Different Ethical Perspectives/Concepts, Application of Ethical Principles, and Evaluation of Different Ethical Perspectives/Concepts.  Students’ Ethical Self Identity evolves as they practice ethical decision-making skills and learn how to describe and analyze positions on ethical issues. Presumably, they will choose ethical actions when faced with ethical issues.</w:t>
      </w:r>
    </w:p>
    <w:p w:rsidR="006E66A4" w:rsidRDefault="006E66A4">
      <w:pPr>
        <w:pStyle w:val="Standard"/>
        <w:rPr>
          <w:rFonts w:ascii="Garamond" w:hAnsi="Garamond"/>
        </w:rPr>
      </w:pPr>
    </w:p>
    <w:p w:rsidR="006E66A4" w:rsidRDefault="00B84EA5">
      <w:pPr>
        <w:pStyle w:val="Standard"/>
        <w:jc w:val="center"/>
        <w:rPr>
          <w:rFonts w:ascii="Garamond" w:hAnsi="Garamond"/>
          <w:b/>
          <w:bCs/>
        </w:rPr>
      </w:pPr>
      <w:r>
        <w:rPr>
          <w:rFonts w:ascii="Garamond" w:hAnsi="Garamond"/>
          <w:b/>
          <w:bCs/>
        </w:rPr>
        <w:t>Glossary</w:t>
      </w:r>
    </w:p>
    <w:p w:rsidR="006E66A4" w:rsidRDefault="00B84EA5">
      <w:pPr>
        <w:pStyle w:val="Standard"/>
        <w:jc w:val="center"/>
        <w:rPr>
          <w:rFonts w:ascii="Garamond" w:hAnsi="Garamond"/>
          <w:i/>
          <w:iCs/>
        </w:rPr>
      </w:pPr>
      <w:r>
        <w:rPr>
          <w:rFonts w:ascii="Garamond" w:hAnsi="Garamond"/>
          <w:i/>
          <w:iCs/>
        </w:rPr>
        <w:t>The definitions that follow were developed to clarify terms and concepts used in this rubric only.</w:t>
      </w:r>
    </w:p>
    <w:p w:rsidR="006E66A4" w:rsidRDefault="00B84EA5">
      <w:pPr>
        <w:pStyle w:val="Standard"/>
        <w:numPr>
          <w:ilvl w:val="0"/>
          <w:numId w:val="7"/>
        </w:numPr>
        <w:rPr>
          <w:rFonts w:ascii="Garamond" w:hAnsi="Garamond"/>
        </w:rPr>
      </w:pPr>
      <w:r>
        <w:rPr>
          <w:rFonts w:ascii="Garamond" w:hAnsi="Garamond"/>
        </w:rPr>
        <w:t>Core Beliefs:  Those fundamental principles that consciously or unconsciously influence one's ethical conduct and ethical thinking.  Even when unacknowledged, core beliefs shape one's responses.  Core beliefs can reflect one's environment, religion, culture or training.  A person may or may not choose to act on their core beliefs.</w:t>
      </w:r>
    </w:p>
    <w:p w:rsidR="006E66A4" w:rsidRDefault="00B84EA5">
      <w:pPr>
        <w:pStyle w:val="Standard"/>
        <w:numPr>
          <w:ilvl w:val="0"/>
          <w:numId w:val="7"/>
        </w:numPr>
        <w:rPr>
          <w:rFonts w:ascii="Garamond" w:hAnsi="Garamond"/>
        </w:rPr>
      </w:pPr>
      <w:r>
        <w:rPr>
          <w:rFonts w:ascii="Garamond" w:hAnsi="Garamond"/>
        </w:rPr>
        <w:t>Ethical Perspectives/concepts:  The different theoretical means through which ethical issues are analyzed, such as ethical theories (e.g., utilitarian, natural law, virtue) or ethical concepts (e.g., rights, justice, duty).</w:t>
      </w:r>
    </w:p>
    <w:p w:rsidR="006E66A4" w:rsidRDefault="00B84EA5">
      <w:pPr>
        <w:pStyle w:val="Standard"/>
        <w:numPr>
          <w:ilvl w:val="0"/>
          <w:numId w:val="7"/>
        </w:numPr>
        <w:rPr>
          <w:rFonts w:ascii="Garamond" w:hAnsi="Garamond"/>
        </w:rPr>
      </w:pPr>
      <w:r>
        <w:rPr>
          <w:rFonts w:ascii="Garamond" w:hAnsi="Garamond"/>
        </w:rPr>
        <w:t>Complex, multi-layered (</w:t>
      </w:r>
      <w:r w:rsidR="007559F3">
        <w:rPr>
          <w:rFonts w:ascii="Garamond" w:hAnsi="Garamond"/>
        </w:rPr>
        <w:t>gray</w:t>
      </w:r>
      <w:r>
        <w:rPr>
          <w:rFonts w:ascii="Garamond" w:hAnsi="Garamond"/>
        </w:rPr>
        <w:t xml:space="preserve">) context:  The sub-parts or situational conditions of a scenario that bring two or more ethical dilemmas (issues) into the mix/problem/context/for student's identification.  </w:t>
      </w:r>
    </w:p>
    <w:p w:rsidR="006E66A4" w:rsidRDefault="00B84EA5">
      <w:pPr>
        <w:pStyle w:val="Standard"/>
        <w:numPr>
          <w:ilvl w:val="0"/>
          <w:numId w:val="7"/>
        </w:numPr>
        <w:rPr>
          <w:rFonts w:ascii="Garamond" w:hAnsi="Garamond"/>
        </w:rPr>
      </w:pPr>
      <w:r>
        <w:rPr>
          <w:rFonts w:ascii="Garamond" w:hAnsi="Garamond"/>
        </w:rPr>
        <w:t xml:space="preserve">Cross-relationships among the issues: Obvious or subtle connections between/among the sub-parts or situational conditions of the issues present in a scenario (e.g., relationship of production of corn as part of climate change issue).  </w:t>
      </w:r>
    </w:p>
    <w:p w:rsidR="006E66A4" w:rsidRDefault="006E66A4">
      <w:pPr>
        <w:pStyle w:val="Standard"/>
        <w:jc w:val="center"/>
        <w:rPr>
          <w:rFonts w:ascii="Garamond, serif" w:hAnsi="Garamond, serif"/>
          <w:i/>
          <w:iCs/>
          <w:sz w:val="22"/>
          <w:szCs w:val="22"/>
        </w:rPr>
        <w:sectPr w:rsidR="006E66A4">
          <w:pgSz w:w="20163" w:h="12240" w:orient="landscape"/>
          <w:pgMar w:top="720" w:right="720" w:bottom="720" w:left="720" w:header="720" w:footer="720" w:gutter="0"/>
          <w:cols w:space="720"/>
        </w:sectPr>
      </w:pPr>
    </w:p>
    <w:tbl>
      <w:tblPr>
        <w:tblW w:w="18622" w:type="dxa"/>
        <w:tblInd w:w="76" w:type="dxa"/>
        <w:tblLayout w:type="fixed"/>
        <w:tblCellMar>
          <w:left w:w="10" w:type="dxa"/>
          <w:right w:w="10" w:type="dxa"/>
        </w:tblCellMar>
        <w:tblLook w:val="0000"/>
      </w:tblPr>
      <w:tblGrid>
        <w:gridCol w:w="16704"/>
        <w:gridCol w:w="1918"/>
      </w:tblGrid>
      <w:tr w:rsidR="006E66A4" w:rsidTr="006E66A4">
        <w:tblPrEx>
          <w:tblCellMar>
            <w:top w:w="0" w:type="dxa"/>
            <w:bottom w:w="0" w:type="dxa"/>
          </w:tblCellMar>
        </w:tblPrEx>
        <w:trPr>
          <w:trHeight w:val="311"/>
        </w:trPr>
        <w:tc>
          <w:tcPr>
            <w:tcW w:w="16704" w:type="dxa"/>
            <w:tcMar>
              <w:top w:w="0" w:type="dxa"/>
              <w:left w:w="0" w:type="dxa"/>
              <w:bottom w:w="0" w:type="dxa"/>
              <w:right w:w="0" w:type="dxa"/>
            </w:tcMar>
          </w:tcPr>
          <w:p w:rsidR="006E66A4" w:rsidRDefault="00B84EA5">
            <w:pPr>
              <w:pStyle w:val="Standard"/>
              <w:snapToGrid w:val="0"/>
              <w:jc w:val="center"/>
              <w:rPr>
                <w:sz w:val="40"/>
                <w:szCs w:val="40"/>
              </w:rPr>
            </w:pPr>
            <w:r>
              <w:rPr>
                <w:rFonts w:ascii="Garamond" w:hAnsi="Garamond"/>
                <w:b/>
                <w:smallCaps/>
                <w:color w:val="000000"/>
                <w:sz w:val="40"/>
                <w:szCs w:val="40"/>
                <w:lang w:val="en-US"/>
              </w:rPr>
              <w:lastRenderedPageBreak/>
              <w:t>Ethical Reasoning</w:t>
            </w:r>
            <w:r>
              <w:rPr>
                <w:rFonts w:ascii="Garamond" w:hAnsi="Garamond"/>
                <w:b/>
                <w:smallCaps/>
                <w:color w:val="000000"/>
                <w:sz w:val="40"/>
                <w:szCs w:val="40"/>
              </w:rPr>
              <w:t xml:space="preserve"> VALUE Rubric</w:t>
            </w:r>
          </w:p>
          <w:p w:rsidR="006E66A4" w:rsidRDefault="00B84EA5">
            <w:pPr>
              <w:pStyle w:val="Standard"/>
              <w:snapToGrid w:val="0"/>
              <w:jc w:val="center"/>
              <w:rPr>
                <w:sz w:val="22"/>
                <w:szCs w:val="22"/>
              </w:rPr>
            </w:pPr>
            <w:r>
              <w:rPr>
                <w:rFonts w:ascii="Garamond" w:eastAsia="Helvetica" w:hAnsi="Garamond" w:cs="Helvetica"/>
                <w:i/>
                <w:sz w:val="22"/>
                <w:szCs w:val="22"/>
                <w:lang w:val="en-US"/>
              </w:rPr>
              <w:t>f</w:t>
            </w:r>
            <w:r>
              <w:rPr>
                <w:rFonts w:ascii="Garamond" w:eastAsia="Helvetica" w:hAnsi="Garamond" w:cs="Helvetica"/>
                <w:i/>
                <w:sz w:val="22"/>
                <w:szCs w:val="22"/>
              </w:rPr>
              <w:t>or more information</w:t>
            </w:r>
            <w:r>
              <w:rPr>
                <w:rFonts w:ascii="Garamond" w:eastAsia="Helvetica" w:hAnsi="Garamond" w:cs="Helvetica"/>
                <w:i/>
                <w:sz w:val="22"/>
                <w:szCs w:val="22"/>
                <w:lang w:val="en-US"/>
              </w:rPr>
              <w:t xml:space="preserve">, </w:t>
            </w:r>
            <w:r>
              <w:rPr>
                <w:rFonts w:ascii="Garamond" w:eastAsia="Helvetica" w:hAnsi="Garamond" w:cs="Helvetica"/>
                <w:i/>
                <w:sz w:val="22"/>
                <w:szCs w:val="22"/>
              </w:rPr>
              <w:t xml:space="preserve">please </w:t>
            </w:r>
            <w:r>
              <w:rPr>
                <w:rFonts w:ascii="Garamond" w:eastAsia="Helvetica" w:hAnsi="Garamond" w:cs="Helvetica"/>
                <w:i/>
                <w:sz w:val="22"/>
                <w:szCs w:val="22"/>
                <w:lang w:val="en-US"/>
              </w:rPr>
              <w:t>contact value</w:t>
            </w:r>
            <w:r>
              <w:rPr>
                <w:rFonts w:ascii="Garamond" w:eastAsia="Helvetica" w:hAnsi="Garamond" w:cs="Helvetica"/>
                <w:i/>
                <w:sz w:val="22"/>
                <w:szCs w:val="22"/>
              </w:rPr>
              <w:t>@</w:t>
            </w:r>
            <w:r>
              <w:rPr>
                <w:rFonts w:ascii="Garamond" w:eastAsia="Helvetica" w:hAnsi="Garamond" w:cs="Helvetica"/>
                <w:i/>
                <w:sz w:val="22"/>
                <w:szCs w:val="22"/>
                <w:lang w:val="en-US"/>
              </w:rPr>
              <w:t>aacu.org</w:t>
            </w:r>
          </w:p>
        </w:tc>
        <w:tc>
          <w:tcPr>
            <w:tcW w:w="1918" w:type="dxa"/>
            <w:tcMar>
              <w:top w:w="0" w:type="dxa"/>
              <w:left w:w="0" w:type="dxa"/>
              <w:bottom w:w="0" w:type="dxa"/>
              <w:right w:w="0" w:type="dxa"/>
            </w:tcMar>
          </w:tcPr>
          <w:p w:rsidR="006E66A4" w:rsidRDefault="00053C0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Garamond" w:hAnsi="Garamond"/>
                <w:sz w:val="22"/>
                <w:szCs w:val="22"/>
              </w:rPr>
            </w:pPr>
            <w:r w:rsidRPr="00053C04">
              <w:rPr>
                <w:rFonts w:ascii="Garamond" w:hAnsi="Garamond"/>
                <w:noProof/>
                <w:sz w:val="22"/>
                <w:szCs w:val="22"/>
                <w:lang w:val="en-US"/>
              </w:rPr>
              <w:pict>
                <v:shape id="graphics2" o:spid="_x0000_i1026" type="#_x0000_t75" style="width:90pt;height:47.25pt;visibility:visible" filled="t">
                  <v:imagedata r:id="rId7" o:title=""/>
                </v:shape>
              </w:pict>
            </w:r>
          </w:p>
        </w:tc>
      </w:tr>
    </w:tbl>
    <w:p w:rsidR="006E66A4" w:rsidRDefault="006E66A4">
      <w:pPr>
        <w:pStyle w:val="Standard"/>
        <w:jc w:val="center"/>
        <w:rPr>
          <w:rFonts w:ascii="Garamond" w:hAnsi="Garamond"/>
          <w:b/>
          <w:bCs/>
          <w:sz w:val="20"/>
          <w:szCs w:val="20"/>
        </w:rPr>
      </w:pPr>
    </w:p>
    <w:p w:rsidR="006E66A4" w:rsidRDefault="00B84EA5">
      <w:pPr>
        <w:pStyle w:val="Standard"/>
        <w:jc w:val="center"/>
        <w:rPr>
          <w:rFonts w:ascii="Garamond" w:hAnsi="Garamond"/>
          <w:b/>
          <w:bCs/>
          <w:sz w:val="20"/>
          <w:szCs w:val="20"/>
        </w:rPr>
      </w:pPr>
      <w:r>
        <w:rPr>
          <w:rFonts w:ascii="Garamond" w:hAnsi="Garamond"/>
          <w:b/>
          <w:bCs/>
          <w:sz w:val="20"/>
          <w:szCs w:val="20"/>
        </w:rPr>
        <w:t>Definition</w:t>
      </w:r>
    </w:p>
    <w:p w:rsidR="006E66A4" w:rsidRDefault="00B84EA5">
      <w:pPr>
        <w:pStyle w:val="Standard"/>
        <w:rPr>
          <w:rFonts w:ascii="Garamond" w:hAnsi="Garamond"/>
          <w:sz w:val="20"/>
          <w:szCs w:val="20"/>
        </w:rPr>
      </w:pPr>
      <w:r>
        <w:rPr>
          <w:rFonts w:ascii="Garamond" w:hAnsi="Garamond"/>
          <w:sz w:val="20"/>
          <w:szCs w:val="20"/>
        </w:rPr>
        <w:tab/>
        <w:t>Ethical Reasoning is reasoning about right and wrong human conduct.  It requires students to be able to assess their own ethical values and the social context of problems, recognize ethical issues in a variety of settings, think about how different ethical perspectives might be applied to ethical dilemmas</w:t>
      </w:r>
      <w:r w:rsidR="007559F3">
        <w:rPr>
          <w:rFonts w:ascii="Garamond" w:hAnsi="Garamond"/>
          <w:sz w:val="20"/>
          <w:szCs w:val="20"/>
          <w:lang w:val="en-US"/>
        </w:rPr>
        <w:t>,</w:t>
      </w:r>
      <w:r>
        <w:rPr>
          <w:rFonts w:ascii="Garamond" w:hAnsi="Garamond"/>
          <w:sz w:val="20"/>
          <w:szCs w:val="20"/>
        </w:rPr>
        <w:t xml:space="preserve"> and consider the ramifications of alternative </w:t>
      </w:r>
      <w:r w:rsidR="007559F3">
        <w:rPr>
          <w:rFonts w:ascii="Garamond" w:hAnsi="Garamond"/>
          <w:sz w:val="20"/>
          <w:szCs w:val="20"/>
        </w:rPr>
        <w:t>actions. Students’ ethical self</w:t>
      </w:r>
      <w:r w:rsidR="007559F3">
        <w:rPr>
          <w:rFonts w:ascii="Garamond" w:hAnsi="Garamond"/>
          <w:sz w:val="20"/>
          <w:szCs w:val="20"/>
          <w:lang w:val="en-US"/>
        </w:rPr>
        <w:t>-</w:t>
      </w:r>
      <w:r>
        <w:rPr>
          <w:rFonts w:ascii="Garamond" w:hAnsi="Garamond"/>
          <w:sz w:val="20"/>
          <w:szCs w:val="20"/>
        </w:rPr>
        <w:t>identity evolves as they practice ethical decision-making skills and learn how to describe and analyze positions on ethical issues.</w:t>
      </w:r>
    </w:p>
    <w:p w:rsidR="006E66A4" w:rsidRDefault="006E66A4">
      <w:pPr>
        <w:pStyle w:val="Standard"/>
        <w:jc w:val="center"/>
        <w:rPr>
          <w:rFonts w:ascii="Garamond" w:hAnsi="Garamond"/>
          <w:i/>
          <w:iCs/>
          <w:sz w:val="20"/>
          <w:szCs w:val="20"/>
        </w:rPr>
      </w:pPr>
    </w:p>
    <w:p w:rsidR="006E66A4" w:rsidRDefault="00B84EA5">
      <w:pPr>
        <w:pStyle w:val="Standard"/>
        <w:jc w:val="center"/>
        <w:rPr>
          <w:rFonts w:ascii="Garamond" w:hAnsi="Garamond"/>
          <w:sz w:val="20"/>
          <w:szCs w:val="20"/>
        </w:rPr>
      </w:pPr>
      <w:r>
        <w:rPr>
          <w:rFonts w:ascii="Garamond, serif" w:hAnsi="Garamond, serif"/>
          <w:i/>
          <w:iCs/>
          <w:sz w:val="20"/>
          <w:szCs w:val="20"/>
        </w:rPr>
        <w:t>E</w:t>
      </w:r>
      <w:r>
        <w:rPr>
          <w:rFonts w:ascii="Garamond" w:hAnsi="Garamond"/>
          <w:i/>
          <w:iCs/>
          <w:sz w:val="20"/>
          <w:szCs w:val="20"/>
        </w:rPr>
        <w:t>valuators are encouraged to assign a zero to any work sample or collection of work that does not meet benchmark (cell one) level performance.</w:t>
      </w:r>
    </w:p>
    <w:p w:rsidR="006E66A4" w:rsidRDefault="006E66A4">
      <w:pPr>
        <w:pStyle w:val="Standard"/>
        <w:rPr>
          <w:rFonts w:ascii="Garamond" w:hAnsi="Garamond"/>
          <w:i/>
          <w:iCs/>
          <w:sz w:val="20"/>
          <w:szCs w:val="20"/>
        </w:rPr>
      </w:pPr>
    </w:p>
    <w:tbl>
      <w:tblPr>
        <w:tblW w:w="18723" w:type="dxa"/>
        <w:tblInd w:w="45" w:type="dxa"/>
        <w:tblLayout w:type="fixed"/>
        <w:tblCellMar>
          <w:left w:w="10" w:type="dxa"/>
          <w:right w:w="10" w:type="dxa"/>
        </w:tblCellMar>
        <w:tblLook w:val="0000"/>
      </w:tblPr>
      <w:tblGrid>
        <w:gridCol w:w="3744"/>
        <w:gridCol w:w="3744"/>
        <w:gridCol w:w="3745"/>
        <w:gridCol w:w="3745"/>
        <w:gridCol w:w="3745"/>
      </w:tblGrid>
      <w:tr w:rsidR="006E66A4" w:rsidTr="006E66A4">
        <w:tblPrEx>
          <w:tblCellMar>
            <w:top w:w="0" w:type="dxa"/>
            <w:bottom w:w="0" w:type="dxa"/>
          </w:tblCellMar>
        </w:tblPrEx>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6E66A4" w:rsidRDefault="006E66A4">
            <w:pPr>
              <w:pStyle w:val="Textbody"/>
              <w:jc w:val="center"/>
              <w:rPr>
                <w:rFonts w:ascii="Garamond" w:hAnsi="Garamond"/>
                <w:b/>
                <w:bCs/>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6E66A4" w:rsidRDefault="00B84EA5">
            <w:pPr>
              <w:pStyle w:val="Textbody"/>
              <w:jc w:val="center"/>
              <w:rPr>
                <w:rFonts w:ascii="Garamond" w:hAnsi="Garamond"/>
                <w:b/>
                <w:bCs/>
                <w:sz w:val="20"/>
                <w:szCs w:val="20"/>
              </w:rPr>
            </w:pPr>
            <w:r>
              <w:rPr>
                <w:rFonts w:ascii="Garamond" w:hAnsi="Garamond"/>
                <w:b/>
                <w:bCs/>
                <w:sz w:val="20"/>
                <w:szCs w:val="20"/>
              </w:rPr>
              <w:t>Capstone</w:t>
            </w:r>
          </w:p>
          <w:p w:rsidR="006E66A4" w:rsidRDefault="00B84EA5">
            <w:pPr>
              <w:pStyle w:val="Textbody"/>
              <w:jc w:val="center"/>
              <w:rPr>
                <w:rFonts w:ascii="Garamond" w:hAnsi="Garamond"/>
                <w:sz w:val="20"/>
                <w:szCs w:val="20"/>
              </w:rPr>
            </w:pPr>
            <w:r>
              <w:rPr>
                <w:rFonts w:ascii="Garamond" w:hAnsi="Garamond"/>
                <w:sz w:val="20"/>
                <w:szCs w:val="20"/>
              </w:rPr>
              <w:t>4</w:t>
            </w:r>
          </w:p>
        </w:tc>
        <w:tc>
          <w:tcPr>
            <w:tcW w:w="7490"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6E66A4" w:rsidRDefault="00B84EA5">
            <w:pPr>
              <w:pStyle w:val="Textbody"/>
              <w:jc w:val="center"/>
              <w:rPr>
                <w:rFonts w:ascii="Garamond" w:hAnsi="Garamond"/>
                <w:b/>
                <w:bCs/>
                <w:sz w:val="20"/>
                <w:szCs w:val="20"/>
              </w:rPr>
            </w:pPr>
            <w:r>
              <w:rPr>
                <w:rFonts w:ascii="Garamond" w:hAnsi="Garamond"/>
                <w:b/>
                <w:bCs/>
                <w:sz w:val="20"/>
                <w:szCs w:val="20"/>
              </w:rPr>
              <w:t>Milestones</w:t>
            </w:r>
          </w:p>
          <w:p w:rsidR="006E66A4" w:rsidRDefault="00B84EA5">
            <w:pPr>
              <w:pStyle w:val="Textbody"/>
              <w:jc w:val="center"/>
              <w:rPr>
                <w:rFonts w:ascii="Garamond" w:hAnsi="Garamond"/>
                <w:sz w:val="20"/>
                <w:szCs w:val="20"/>
              </w:rPr>
            </w:pPr>
            <w:r>
              <w:rPr>
                <w:rFonts w:ascii="Garamond" w:hAnsi="Garamond"/>
                <w:sz w:val="20"/>
                <w:szCs w:val="20"/>
              </w:rPr>
              <w:t>3</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2</w:t>
            </w:r>
          </w:p>
        </w:tc>
        <w:tc>
          <w:tcPr>
            <w:tcW w:w="37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Textbody"/>
              <w:jc w:val="center"/>
              <w:rPr>
                <w:rFonts w:ascii="Garamond" w:hAnsi="Garamond"/>
                <w:b/>
                <w:bCs/>
                <w:sz w:val="20"/>
                <w:szCs w:val="20"/>
              </w:rPr>
            </w:pPr>
            <w:r>
              <w:rPr>
                <w:rFonts w:ascii="Garamond" w:hAnsi="Garamond"/>
                <w:b/>
                <w:bCs/>
                <w:sz w:val="20"/>
                <w:szCs w:val="20"/>
              </w:rPr>
              <w:t>Benchmark</w:t>
            </w:r>
          </w:p>
          <w:p w:rsidR="006E66A4" w:rsidRDefault="00B84EA5">
            <w:pPr>
              <w:pStyle w:val="Textbody"/>
              <w:jc w:val="center"/>
              <w:rPr>
                <w:rFonts w:ascii="Garamond" w:hAnsi="Garamond"/>
                <w:sz w:val="20"/>
                <w:szCs w:val="20"/>
              </w:rPr>
            </w:pPr>
            <w:r>
              <w:rPr>
                <w:rFonts w:ascii="Garamond" w:hAnsi="Garamond"/>
                <w:sz w:val="20"/>
                <w:szCs w:val="20"/>
              </w:rPr>
              <w:t>1</w:t>
            </w:r>
          </w:p>
        </w:tc>
      </w:tr>
      <w:tr w:rsidR="006E66A4" w:rsidTr="006E66A4">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6E66A4" w:rsidRDefault="007559F3">
            <w:pPr>
              <w:pStyle w:val="Standard"/>
              <w:rPr>
                <w:rFonts w:ascii="Garamond" w:hAnsi="Garamond"/>
                <w:b/>
                <w:bCs/>
                <w:sz w:val="20"/>
                <w:szCs w:val="20"/>
              </w:rPr>
            </w:pPr>
            <w:r>
              <w:rPr>
                <w:rFonts w:ascii="Garamond" w:hAnsi="Garamond"/>
                <w:b/>
                <w:bCs/>
                <w:sz w:val="20"/>
                <w:szCs w:val="20"/>
              </w:rPr>
              <w:t>Ethical Self</w:t>
            </w:r>
            <w:r>
              <w:rPr>
                <w:rFonts w:ascii="Garamond" w:hAnsi="Garamond"/>
                <w:b/>
                <w:bCs/>
                <w:sz w:val="20"/>
                <w:szCs w:val="20"/>
                <w:lang w:val="en-US"/>
              </w:rPr>
              <w:t>-</w:t>
            </w:r>
            <w:r w:rsidR="00B84EA5">
              <w:rPr>
                <w:rFonts w:ascii="Garamond" w:hAnsi="Garamond"/>
                <w:b/>
                <w:bCs/>
                <w:sz w:val="20"/>
                <w:szCs w:val="20"/>
              </w:rPr>
              <w:t>Awareness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discusses in detail/analyzes both core beliefs and the origins of the core beliefs and discussion has greater depth and clarity.</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discusses in detail/analyzes both core beliefs and the origins of the core beliefs.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both core beliefs and the origins of the core beliefs.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either their core beliefs or articulates the origins of the core beliefs but not both.</w:t>
            </w:r>
          </w:p>
        </w:tc>
      </w:tr>
      <w:tr w:rsidR="006E66A4" w:rsidTr="006E66A4">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b/>
                <w:bCs/>
                <w:sz w:val="20"/>
                <w:szCs w:val="20"/>
              </w:rPr>
            </w:pPr>
            <w:r>
              <w:rPr>
                <w:rFonts w:ascii="Garamond" w:hAnsi="Garamond"/>
                <w:b/>
                <w:bCs/>
                <w:sz w:val="20"/>
                <w:szCs w:val="20"/>
              </w:rPr>
              <w:t>Understanding Different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names the theory or theories, can present the gist of said theory or theories, and accurately explains the details of the theory or theories used.</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name the major theory or theories she/he uses, can present the gist of said theory or theories, and attempts to explain the details of the theory or theories used, but has some inaccuracies.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name the major theory she/he uses, and is only able to present the gist of the named theory.</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only names the major theory she/he uses.</w:t>
            </w:r>
          </w:p>
        </w:tc>
      </w:tr>
      <w:tr w:rsidR="006E66A4" w:rsidTr="006E66A4">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b/>
                <w:bCs/>
                <w:sz w:val="20"/>
                <w:szCs w:val="20"/>
              </w:rPr>
            </w:pPr>
            <w:r>
              <w:rPr>
                <w:rFonts w:ascii="Garamond" w:hAnsi="Garamond"/>
                <w:b/>
                <w:bCs/>
                <w:sz w:val="20"/>
                <w:szCs w:val="20"/>
              </w:rPr>
              <w:t>Ethical Issue Recognition</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recognize ethical issues whe</w:t>
            </w:r>
            <w:r w:rsidR="007559F3">
              <w:rPr>
                <w:rFonts w:ascii="Garamond" w:hAnsi="Garamond"/>
                <w:sz w:val="20"/>
                <w:szCs w:val="20"/>
              </w:rPr>
              <w:t>n presented in a complex, multi</w:t>
            </w:r>
            <w:r>
              <w:rPr>
                <w:rFonts w:ascii="Garamond" w:hAnsi="Garamond"/>
                <w:sz w:val="20"/>
                <w:szCs w:val="20"/>
              </w:rPr>
              <w:t>layered (</w:t>
            </w:r>
            <w:r w:rsidR="007559F3">
              <w:rPr>
                <w:rFonts w:ascii="Garamond" w:hAnsi="Garamond"/>
                <w:sz w:val="20"/>
                <w:szCs w:val="20"/>
              </w:rPr>
              <w:t>gray</w:t>
            </w:r>
            <w:r>
              <w:rPr>
                <w:rFonts w:ascii="Garamond" w:hAnsi="Garamond"/>
                <w:sz w:val="20"/>
                <w:szCs w:val="20"/>
              </w:rPr>
              <w:t>) context AND can recognize cross-relationships among the issues.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recognize ethical issues when issues ar</w:t>
            </w:r>
            <w:r w:rsidR="007559F3">
              <w:rPr>
                <w:rFonts w:ascii="Garamond" w:hAnsi="Garamond"/>
                <w:sz w:val="20"/>
                <w:szCs w:val="20"/>
              </w:rPr>
              <w:t>e presented in a complex, multi</w:t>
            </w:r>
            <w:r>
              <w:rPr>
                <w:rFonts w:ascii="Garamond" w:hAnsi="Garamond"/>
                <w:sz w:val="20"/>
                <w:szCs w:val="20"/>
              </w:rPr>
              <w:t>layered (</w:t>
            </w:r>
            <w:r w:rsidR="007559F3">
              <w:rPr>
                <w:rFonts w:ascii="Garamond" w:hAnsi="Garamond"/>
                <w:sz w:val="20"/>
                <w:szCs w:val="20"/>
              </w:rPr>
              <w:t>gray</w:t>
            </w:r>
            <w:r>
              <w:rPr>
                <w:rFonts w:ascii="Garamond" w:hAnsi="Garamond"/>
                <w:sz w:val="20"/>
                <w:szCs w:val="20"/>
              </w:rPr>
              <w:t>) context OR  can grasp cross-relationships among the issues.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recognize basic and obvious ethical issues and grasp (incomple</w:t>
            </w:r>
            <w:r w:rsidR="007559F3">
              <w:rPr>
                <w:rFonts w:ascii="Garamond" w:hAnsi="Garamond"/>
                <w:sz w:val="20"/>
                <w:szCs w:val="20"/>
              </w:rPr>
              <w:t>tely) the complexities or inter</w:t>
            </w:r>
            <w:r>
              <w:rPr>
                <w:rFonts w:ascii="Garamond" w:hAnsi="Garamond"/>
                <w:sz w:val="20"/>
                <w:szCs w:val="20"/>
              </w:rPr>
              <w:t>relationships among the issues.</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recognize basic and obvious ethical issues but fai</w:t>
            </w:r>
            <w:r w:rsidR="007559F3">
              <w:rPr>
                <w:rFonts w:ascii="Garamond" w:hAnsi="Garamond"/>
                <w:sz w:val="20"/>
                <w:szCs w:val="20"/>
              </w:rPr>
              <w:t>ls to grasp complexity or inter</w:t>
            </w:r>
            <w:r>
              <w:rPr>
                <w:rFonts w:ascii="Garamond" w:hAnsi="Garamond"/>
                <w:sz w:val="20"/>
                <w:szCs w:val="20"/>
              </w:rPr>
              <w:t>relationships.</w:t>
            </w:r>
          </w:p>
        </w:tc>
      </w:tr>
      <w:tr w:rsidR="006E66A4" w:rsidTr="006E66A4">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b/>
                <w:bCs/>
                <w:sz w:val="20"/>
                <w:szCs w:val="20"/>
              </w:rPr>
            </w:pPr>
            <w:r>
              <w:rPr>
                <w:rFonts w:ascii="Garamond" w:hAnsi="Garamond"/>
                <w:b/>
                <w:bCs/>
                <w:sz w:val="20"/>
                <w:szCs w:val="20"/>
              </w:rPr>
              <w:t>Application of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independently apply ethical perspectives/concepts to an ethical question, accurately, and is able to consider full implications of the application.</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 xml:space="preserve">Student can </w:t>
            </w:r>
            <w:r w:rsidR="00E13E1E">
              <w:rPr>
                <w:rFonts w:ascii="Garamond" w:hAnsi="Garamond"/>
                <w:sz w:val="20"/>
                <w:szCs w:val="20"/>
              </w:rPr>
              <w:t>independently</w:t>
            </w:r>
            <w:r>
              <w:rPr>
                <w:rFonts w:ascii="Garamond" w:hAnsi="Garamond"/>
                <w:sz w:val="20"/>
                <w:szCs w:val="20"/>
              </w:rPr>
              <w:t xml:space="preserve"> apply ethical perspectives/concepts to an ethical question, accurately, but does not consider the specific implications of the application.</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apply ethical perspectives/concepts to an ethical question, independently (to a new example) and the application is inaccurate.</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can apply ethical perspectives/concepts to an ethical question with support (using examples, in a class, in a group, or a fixed-choice setting) but is unable to apply ethical perspectives/concepts independently (to a new example.).</w:t>
            </w:r>
          </w:p>
        </w:tc>
      </w:tr>
      <w:tr w:rsidR="006E66A4" w:rsidTr="006E66A4">
        <w:tblPrEx>
          <w:tblCellMar>
            <w:top w:w="0" w:type="dxa"/>
            <w:bottom w:w="0" w:type="dxa"/>
          </w:tblCellMar>
        </w:tblPrEx>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b/>
                <w:bCs/>
                <w:sz w:val="20"/>
                <w:szCs w:val="20"/>
              </w:rPr>
            </w:pPr>
            <w:r>
              <w:rPr>
                <w:rFonts w:ascii="Garamond" w:hAnsi="Garamond"/>
                <w:b/>
                <w:bCs/>
                <w:sz w:val="20"/>
                <w:szCs w:val="20"/>
              </w:rPr>
              <w:t>Evaluation of Different Ethical Perspectives/Concepts</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a position and can state the objections to, assumptions and implications of and can reasonably defend against the objections to, assumptions and implications of different ethical perspectives/concepts</w:t>
            </w:r>
            <w:r w:rsidR="007559F3">
              <w:rPr>
                <w:rFonts w:ascii="Garamond" w:hAnsi="Garamond"/>
                <w:sz w:val="20"/>
                <w:szCs w:val="20"/>
                <w:lang w:val="en-US"/>
              </w:rPr>
              <w:t>,</w:t>
            </w:r>
            <w:r>
              <w:rPr>
                <w:rFonts w:ascii="Garamond" w:hAnsi="Garamond"/>
                <w:sz w:val="20"/>
                <w:szCs w:val="20"/>
              </w:rPr>
              <w:t xml:space="preserve"> and the student's defense is adequate and effective.</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a position and can state the objections t</w:t>
            </w:r>
            <w:r w:rsidR="007559F3">
              <w:rPr>
                <w:rFonts w:ascii="Garamond" w:hAnsi="Garamond"/>
                <w:sz w:val="20"/>
                <w:szCs w:val="20"/>
              </w:rPr>
              <w:t>o, assumptions and implications</w:t>
            </w:r>
            <w:r w:rsidR="007559F3">
              <w:rPr>
                <w:rFonts w:ascii="Garamond" w:hAnsi="Garamond"/>
                <w:sz w:val="20"/>
                <w:szCs w:val="20"/>
                <w:lang w:val="en-US"/>
              </w:rPr>
              <w:t xml:space="preserve"> of, </w:t>
            </w:r>
            <w:r>
              <w:rPr>
                <w:rFonts w:ascii="Garamond" w:hAnsi="Garamond"/>
                <w:sz w:val="20"/>
                <w:szCs w:val="20"/>
              </w:rPr>
              <w:t>and respond to the objections to, assumptions and implications of different ethical perspectives/concepts</w:t>
            </w:r>
            <w:r w:rsidR="007559F3">
              <w:rPr>
                <w:rFonts w:ascii="Garamond" w:hAnsi="Garamond"/>
                <w:sz w:val="20"/>
                <w:szCs w:val="20"/>
                <w:lang w:val="en-US"/>
              </w:rPr>
              <w:t>,</w:t>
            </w:r>
            <w:r>
              <w:rPr>
                <w:rFonts w:ascii="Garamond" w:hAnsi="Garamond"/>
                <w:sz w:val="20"/>
                <w:szCs w:val="20"/>
              </w:rPr>
              <w:t xml:space="preserve"> but the student's response is inadequate.</w:t>
            </w:r>
          </w:p>
        </w:tc>
        <w:tc>
          <w:tcPr>
            <w:tcW w:w="3745" w:type="dxa"/>
            <w:tcBorders>
              <w:left w:val="single" w:sz="2" w:space="0" w:color="000000"/>
              <w:bottom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a position and can state the objections to, assumptions and implications of different ethical perspectives/concepts but does not respond to them (and ultimately objections, assumptions</w:t>
            </w:r>
            <w:r w:rsidR="007559F3">
              <w:rPr>
                <w:rFonts w:ascii="Garamond" w:hAnsi="Garamond"/>
                <w:sz w:val="20"/>
                <w:szCs w:val="20"/>
                <w:lang w:val="en-US"/>
              </w:rPr>
              <w:t>,</w:t>
            </w:r>
            <w:r>
              <w:rPr>
                <w:rFonts w:ascii="Garamond" w:hAnsi="Garamond"/>
                <w:sz w:val="20"/>
                <w:szCs w:val="20"/>
              </w:rPr>
              <w:t xml:space="preserve"> and implications are compartmentalized by student and do not affect student's position.)</w:t>
            </w:r>
          </w:p>
        </w:tc>
        <w:tc>
          <w:tcPr>
            <w:tcW w:w="3745" w:type="dxa"/>
            <w:tcBorders>
              <w:left w:val="single" w:sz="2" w:space="0" w:color="000000"/>
              <w:bottom w:val="single" w:sz="2" w:space="0" w:color="000000"/>
              <w:right w:val="single" w:sz="2" w:space="0" w:color="000000"/>
            </w:tcBorders>
            <w:tcMar>
              <w:top w:w="55" w:type="dxa"/>
              <w:left w:w="55" w:type="dxa"/>
              <w:bottom w:w="55" w:type="dxa"/>
              <w:right w:w="55" w:type="dxa"/>
            </w:tcMar>
          </w:tcPr>
          <w:p w:rsidR="006E66A4" w:rsidRDefault="00B84EA5">
            <w:pPr>
              <w:pStyle w:val="Standard"/>
              <w:rPr>
                <w:rFonts w:ascii="Garamond" w:hAnsi="Garamond"/>
                <w:sz w:val="20"/>
                <w:szCs w:val="20"/>
              </w:rPr>
            </w:pPr>
            <w:r>
              <w:rPr>
                <w:rFonts w:ascii="Garamond" w:hAnsi="Garamond"/>
                <w:sz w:val="20"/>
                <w:szCs w:val="20"/>
              </w:rPr>
              <w:t>Student states a position but cannot state the objections to and assumptions and limitations of the different perspectives/concepts.</w:t>
            </w:r>
          </w:p>
        </w:tc>
      </w:tr>
    </w:tbl>
    <w:p w:rsidR="006E66A4" w:rsidRDefault="006E66A4">
      <w:pPr>
        <w:pStyle w:val="Standard"/>
        <w:rPr>
          <w:rFonts w:ascii="Garamond" w:hAnsi="Garamond"/>
          <w:sz w:val="20"/>
          <w:szCs w:val="20"/>
        </w:rPr>
      </w:pPr>
    </w:p>
    <w:sectPr w:rsidR="006E66A4" w:rsidSect="006E66A4">
      <w:pgSz w:w="20163" w:h="12240" w:orient="landscape"/>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FEA" w:rsidRDefault="00DB2FEA" w:rsidP="006E66A4">
      <w:r>
        <w:separator/>
      </w:r>
    </w:p>
  </w:endnote>
  <w:endnote w:type="continuationSeparator" w:id="0">
    <w:p w:rsidR="00DB2FEA" w:rsidRDefault="00DB2FEA" w:rsidP="006E66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Garamond,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FEA" w:rsidRDefault="00DB2FEA" w:rsidP="006E66A4">
      <w:r w:rsidRPr="006E66A4">
        <w:rPr>
          <w:color w:val="000000"/>
        </w:rPr>
        <w:separator/>
      </w:r>
    </w:p>
  </w:footnote>
  <w:footnote w:type="continuationSeparator" w:id="0">
    <w:p w:rsidR="00DB2FEA" w:rsidRDefault="00DB2FEA" w:rsidP="006E6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30A"/>
    <w:multiLevelType w:val="multilevel"/>
    <w:tmpl w:val="4B9C0B56"/>
    <w:styleLink w:val="LS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1AB82F99"/>
    <w:multiLevelType w:val="multilevel"/>
    <w:tmpl w:val="9AF8C4C8"/>
    <w:styleLink w:val="LS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5094599"/>
    <w:multiLevelType w:val="multilevel"/>
    <w:tmpl w:val="7CEABB54"/>
    <w:styleLink w:val="WW8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5C585525"/>
    <w:multiLevelType w:val="multilevel"/>
    <w:tmpl w:val="5970AEDA"/>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nsid w:val="6AC85003"/>
    <w:multiLevelType w:val="multilevel"/>
    <w:tmpl w:val="934A1D0C"/>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6EB15AF9"/>
    <w:multiLevelType w:val="multilevel"/>
    <w:tmpl w:val="85020346"/>
    <w:styleLink w:val="WW8Num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nsid w:val="7003645D"/>
    <w:multiLevelType w:val="multilevel"/>
    <w:tmpl w:val="468CDBF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E66A4"/>
    <w:rsid w:val="00053C04"/>
    <w:rsid w:val="00227D4C"/>
    <w:rsid w:val="006E66A4"/>
    <w:rsid w:val="007559F3"/>
    <w:rsid w:val="00B84EA5"/>
    <w:rsid w:val="00D0124A"/>
    <w:rsid w:val="00DB2FEA"/>
    <w:rsid w:val="00E13E1E"/>
    <w:rsid w:val="00EA5C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ahoma" w:hAnsi="Times New Roman"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E66A4"/>
    <w:pPr>
      <w:suppressAutoHyphens/>
      <w:autoSpaceDN w:val="0"/>
      <w:textAlignment w:val="baseline"/>
    </w:pPr>
    <w:rPr>
      <w:rFonts w:eastAsia="Times New Roman" w:cs="Times New Roman"/>
      <w:kern w:val="3"/>
      <w:sz w:val="24"/>
      <w:szCs w:val="24"/>
      <w:lang w:val="ru-RU"/>
    </w:rPr>
  </w:style>
  <w:style w:type="paragraph" w:customStyle="1" w:styleId="Heading">
    <w:name w:val="Heading"/>
    <w:basedOn w:val="Standard"/>
    <w:next w:val="Textbody"/>
    <w:rsid w:val="006E66A4"/>
    <w:pPr>
      <w:keepNext/>
      <w:spacing w:before="240" w:after="120"/>
    </w:pPr>
    <w:rPr>
      <w:rFonts w:ascii="Arial" w:eastAsia="MS Mincho" w:hAnsi="Arial" w:cs="Tahoma"/>
      <w:sz w:val="28"/>
      <w:szCs w:val="28"/>
    </w:rPr>
  </w:style>
  <w:style w:type="paragraph" w:customStyle="1" w:styleId="Textbody">
    <w:name w:val="Text body"/>
    <w:basedOn w:val="Standard"/>
    <w:rsid w:val="006E66A4"/>
    <w:pPr>
      <w:spacing w:after="120"/>
    </w:pPr>
  </w:style>
  <w:style w:type="paragraph" w:styleId="List">
    <w:name w:val="List"/>
    <w:basedOn w:val="Textbody"/>
    <w:rsid w:val="006E66A4"/>
  </w:style>
  <w:style w:type="paragraph" w:styleId="Caption">
    <w:name w:val="caption"/>
    <w:basedOn w:val="Standard"/>
    <w:rsid w:val="006E66A4"/>
    <w:pPr>
      <w:suppressLineNumbers/>
      <w:spacing w:before="120" w:after="120"/>
    </w:pPr>
    <w:rPr>
      <w:i/>
      <w:iCs/>
    </w:rPr>
  </w:style>
  <w:style w:type="paragraph" w:customStyle="1" w:styleId="Index">
    <w:name w:val="Index"/>
    <w:basedOn w:val="Standard"/>
    <w:rsid w:val="006E66A4"/>
    <w:pPr>
      <w:suppressLineNumbers/>
    </w:pPr>
  </w:style>
  <w:style w:type="paragraph" w:styleId="CommentText">
    <w:name w:val="annotation text"/>
    <w:basedOn w:val="Standard"/>
    <w:rsid w:val="006E66A4"/>
    <w:rPr>
      <w:sz w:val="20"/>
      <w:szCs w:val="20"/>
    </w:rPr>
  </w:style>
  <w:style w:type="paragraph" w:styleId="CommentSubject">
    <w:name w:val="annotation subject"/>
    <w:basedOn w:val="CommentText"/>
    <w:next w:val="CommentText"/>
    <w:rsid w:val="006E66A4"/>
    <w:rPr>
      <w:b/>
      <w:bCs/>
    </w:rPr>
  </w:style>
  <w:style w:type="paragraph" w:styleId="BalloonText">
    <w:name w:val="Balloon Text"/>
    <w:basedOn w:val="Standard"/>
    <w:rsid w:val="006E66A4"/>
    <w:rPr>
      <w:rFonts w:ascii="Tahoma" w:hAnsi="Tahoma" w:cs="Tahoma"/>
      <w:sz w:val="16"/>
      <w:szCs w:val="16"/>
    </w:rPr>
  </w:style>
  <w:style w:type="paragraph" w:customStyle="1" w:styleId="TableContents">
    <w:name w:val="Table Contents"/>
    <w:basedOn w:val="Standard"/>
    <w:rsid w:val="006E66A4"/>
    <w:pPr>
      <w:suppressLineNumbers/>
    </w:pPr>
  </w:style>
  <w:style w:type="paragraph" w:customStyle="1" w:styleId="TableHeading">
    <w:name w:val="Table Heading"/>
    <w:basedOn w:val="TableContents"/>
    <w:rsid w:val="006E66A4"/>
    <w:pPr>
      <w:jc w:val="center"/>
    </w:pPr>
    <w:rPr>
      <w:b/>
      <w:bCs/>
    </w:rPr>
  </w:style>
  <w:style w:type="character" w:customStyle="1" w:styleId="WW8Num1z0">
    <w:name w:val="WW8Num1z0"/>
    <w:rsid w:val="006E66A4"/>
    <w:rPr>
      <w:rFonts w:ascii="Symbol" w:hAnsi="Symbol"/>
    </w:rPr>
  </w:style>
  <w:style w:type="character" w:customStyle="1" w:styleId="WW8Num1z1">
    <w:name w:val="WW8Num1z1"/>
    <w:rsid w:val="006E66A4"/>
    <w:rPr>
      <w:rFonts w:ascii="Courier New" w:hAnsi="Courier New"/>
    </w:rPr>
  </w:style>
  <w:style w:type="character" w:customStyle="1" w:styleId="WW8Num1z2">
    <w:name w:val="WW8Num1z2"/>
    <w:rsid w:val="006E66A4"/>
    <w:rPr>
      <w:rFonts w:ascii="Wingdings" w:hAnsi="Wingdings"/>
    </w:rPr>
  </w:style>
  <w:style w:type="character" w:customStyle="1" w:styleId="WW8Num2z0">
    <w:name w:val="WW8Num2z0"/>
    <w:rsid w:val="006E66A4"/>
    <w:rPr>
      <w:rFonts w:ascii="Symbol" w:hAnsi="Symbol"/>
    </w:rPr>
  </w:style>
  <w:style w:type="character" w:customStyle="1" w:styleId="WW8Num2z1">
    <w:name w:val="WW8Num2z1"/>
    <w:rsid w:val="006E66A4"/>
    <w:rPr>
      <w:rFonts w:ascii="Courier New" w:hAnsi="Courier New"/>
    </w:rPr>
  </w:style>
  <w:style w:type="character" w:customStyle="1" w:styleId="WW8Num2z2">
    <w:name w:val="WW8Num2z2"/>
    <w:rsid w:val="006E66A4"/>
    <w:rPr>
      <w:rFonts w:ascii="Wingdings" w:hAnsi="Wingdings"/>
    </w:rPr>
  </w:style>
  <w:style w:type="character" w:customStyle="1" w:styleId="WW8Num3z0">
    <w:name w:val="WW8Num3z0"/>
    <w:rsid w:val="006E66A4"/>
    <w:rPr>
      <w:rFonts w:ascii="Symbol" w:hAnsi="Symbol"/>
    </w:rPr>
  </w:style>
  <w:style w:type="character" w:customStyle="1" w:styleId="WW8Num3z1">
    <w:name w:val="WW8Num3z1"/>
    <w:rsid w:val="006E66A4"/>
    <w:rPr>
      <w:rFonts w:ascii="Courier New" w:hAnsi="Courier New"/>
    </w:rPr>
  </w:style>
  <w:style w:type="character" w:customStyle="1" w:styleId="WW8Num3z2">
    <w:name w:val="WW8Num3z2"/>
    <w:rsid w:val="006E66A4"/>
    <w:rPr>
      <w:rFonts w:ascii="Wingdings" w:hAnsi="Wingdings"/>
    </w:rPr>
  </w:style>
  <w:style w:type="character" w:customStyle="1" w:styleId="WW8Num4z0">
    <w:name w:val="WW8Num4z0"/>
    <w:rsid w:val="006E66A4"/>
    <w:rPr>
      <w:rFonts w:ascii="Symbol" w:hAnsi="Symbol"/>
    </w:rPr>
  </w:style>
  <w:style w:type="character" w:customStyle="1" w:styleId="WW8Num4z1">
    <w:name w:val="WW8Num4z1"/>
    <w:rsid w:val="006E66A4"/>
    <w:rPr>
      <w:rFonts w:ascii="Courier New" w:hAnsi="Courier New"/>
    </w:rPr>
  </w:style>
  <w:style w:type="character" w:customStyle="1" w:styleId="WW8Num4z2">
    <w:name w:val="WW8Num4z2"/>
    <w:rsid w:val="006E66A4"/>
    <w:rPr>
      <w:rFonts w:ascii="Wingdings" w:hAnsi="Wingdings"/>
    </w:rPr>
  </w:style>
  <w:style w:type="character" w:styleId="CommentReference">
    <w:name w:val="annotation reference"/>
    <w:basedOn w:val="DefaultParagraphFont"/>
    <w:rsid w:val="006E66A4"/>
    <w:rPr>
      <w:sz w:val="16"/>
      <w:szCs w:val="16"/>
    </w:rPr>
  </w:style>
  <w:style w:type="character" w:customStyle="1" w:styleId="CommentTextChar">
    <w:name w:val="Comment Text Char"/>
    <w:basedOn w:val="DefaultParagraphFont"/>
    <w:rsid w:val="006E66A4"/>
    <w:rPr>
      <w:lang w:val="ru-RU"/>
    </w:rPr>
  </w:style>
  <w:style w:type="character" w:customStyle="1" w:styleId="CommentSubjectChar">
    <w:name w:val="Comment Subject Char"/>
    <w:basedOn w:val="CommentTextChar"/>
    <w:rsid w:val="006E66A4"/>
    <w:rPr>
      <w:b/>
      <w:bCs/>
    </w:rPr>
  </w:style>
  <w:style w:type="character" w:customStyle="1" w:styleId="BalloonTextChar">
    <w:name w:val="Balloon Text Char"/>
    <w:basedOn w:val="DefaultParagraphFont"/>
    <w:rsid w:val="006E66A4"/>
    <w:rPr>
      <w:rFonts w:ascii="Tahoma" w:hAnsi="Tahoma" w:cs="Tahoma"/>
      <w:sz w:val="16"/>
      <w:szCs w:val="16"/>
      <w:lang w:val="ru-RU"/>
    </w:rPr>
  </w:style>
  <w:style w:type="character" w:customStyle="1" w:styleId="Internetlink">
    <w:name w:val="Internet link"/>
    <w:rsid w:val="006E66A4"/>
    <w:rPr>
      <w:color w:val="000080"/>
      <w:u w:val="single"/>
    </w:rPr>
  </w:style>
  <w:style w:type="character" w:customStyle="1" w:styleId="BulletSymbols">
    <w:name w:val="Bullet Symbols"/>
    <w:rsid w:val="006E66A4"/>
    <w:rPr>
      <w:rFonts w:ascii="OpenSymbol" w:eastAsia="OpenSymbol" w:hAnsi="OpenSymbol" w:cs="OpenSymbol"/>
    </w:rPr>
  </w:style>
  <w:style w:type="character" w:customStyle="1" w:styleId="Default20Paragraph20Font">
    <w:name w:val="Default_20_Paragraph_20_Font"/>
    <w:rsid w:val="006E66A4"/>
  </w:style>
  <w:style w:type="character" w:customStyle="1" w:styleId="LLS20">
    <w:name w:val="LLS_2_0"/>
    <w:rsid w:val="006E66A4"/>
    <w:rPr>
      <w:rFonts w:ascii="Symbol" w:hAnsi="Symbol"/>
    </w:rPr>
  </w:style>
  <w:style w:type="character" w:customStyle="1" w:styleId="LLS21">
    <w:name w:val="LLS_2_1"/>
    <w:rsid w:val="006E66A4"/>
    <w:rPr>
      <w:rFonts w:ascii="Courier New" w:hAnsi="Courier New"/>
    </w:rPr>
  </w:style>
  <w:style w:type="character" w:customStyle="1" w:styleId="LLS22">
    <w:name w:val="LLS_2_2"/>
    <w:rsid w:val="006E66A4"/>
    <w:rPr>
      <w:rFonts w:ascii="Wingdings" w:hAnsi="Wingdings"/>
    </w:rPr>
  </w:style>
  <w:style w:type="character" w:customStyle="1" w:styleId="LLS23">
    <w:name w:val="LLS_2_3"/>
    <w:rsid w:val="006E66A4"/>
    <w:rPr>
      <w:rFonts w:ascii="Symbol" w:hAnsi="Symbol"/>
    </w:rPr>
  </w:style>
  <w:style w:type="character" w:customStyle="1" w:styleId="LLS24">
    <w:name w:val="LLS_2_4"/>
    <w:rsid w:val="006E66A4"/>
    <w:rPr>
      <w:rFonts w:ascii="Courier New" w:hAnsi="Courier New"/>
    </w:rPr>
  </w:style>
  <w:style w:type="character" w:customStyle="1" w:styleId="LLS25">
    <w:name w:val="LLS_2_5"/>
    <w:rsid w:val="006E66A4"/>
    <w:rPr>
      <w:rFonts w:ascii="Wingdings" w:hAnsi="Wingdings"/>
    </w:rPr>
  </w:style>
  <w:style w:type="character" w:customStyle="1" w:styleId="LLS26">
    <w:name w:val="LLS_2_6"/>
    <w:rsid w:val="006E66A4"/>
    <w:rPr>
      <w:rFonts w:ascii="Symbol" w:hAnsi="Symbol"/>
    </w:rPr>
  </w:style>
  <w:style w:type="character" w:customStyle="1" w:styleId="LLS27">
    <w:name w:val="LLS_2_7"/>
    <w:rsid w:val="006E66A4"/>
    <w:rPr>
      <w:rFonts w:ascii="Courier New" w:hAnsi="Courier New"/>
    </w:rPr>
  </w:style>
  <w:style w:type="character" w:customStyle="1" w:styleId="LLS28">
    <w:name w:val="LLS_2_8"/>
    <w:rsid w:val="006E66A4"/>
    <w:rPr>
      <w:rFonts w:ascii="Wingdings" w:hAnsi="Wingdings"/>
    </w:rPr>
  </w:style>
  <w:style w:type="character" w:customStyle="1" w:styleId="LLS10">
    <w:name w:val="LLS_1_0"/>
    <w:rsid w:val="006E66A4"/>
    <w:rPr>
      <w:rFonts w:ascii="Symbol" w:hAnsi="Symbol"/>
    </w:rPr>
  </w:style>
  <w:style w:type="character" w:customStyle="1" w:styleId="LLS11">
    <w:name w:val="LLS_1_1"/>
    <w:rsid w:val="006E66A4"/>
    <w:rPr>
      <w:rFonts w:ascii="Courier New" w:hAnsi="Courier New"/>
    </w:rPr>
  </w:style>
  <w:style w:type="character" w:customStyle="1" w:styleId="LLS12">
    <w:name w:val="LLS_1_2"/>
    <w:rsid w:val="006E66A4"/>
    <w:rPr>
      <w:rFonts w:ascii="Wingdings" w:hAnsi="Wingdings"/>
    </w:rPr>
  </w:style>
  <w:style w:type="character" w:customStyle="1" w:styleId="LLS13">
    <w:name w:val="LLS_1_3"/>
    <w:rsid w:val="006E66A4"/>
    <w:rPr>
      <w:rFonts w:ascii="Symbol" w:hAnsi="Symbol"/>
    </w:rPr>
  </w:style>
  <w:style w:type="character" w:customStyle="1" w:styleId="LLS14">
    <w:name w:val="LLS_1_4"/>
    <w:rsid w:val="006E66A4"/>
    <w:rPr>
      <w:rFonts w:ascii="Courier New" w:hAnsi="Courier New"/>
    </w:rPr>
  </w:style>
  <w:style w:type="character" w:customStyle="1" w:styleId="LLS15">
    <w:name w:val="LLS_1_5"/>
    <w:rsid w:val="006E66A4"/>
    <w:rPr>
      <w:rFonts w:ascii="Wingdings" w:hAnsi="Wingdings"/>
    </w:rPr>
  </w:style>
  <w:style w:type="character" w:customStyle="1" w:styleId="LLS16">
    <w:name w:val="LLS_1_6"/>
    <w:rsid w:val="006E66A4"/>
    <w:rPr>
      <w:rFonts w:ascii="Symbol" w:hAnsi="Symbol"/>
    </w:rPr>
  </w:style>
  <w:style w:type="character" w:customStyle="1" w:styleId="LLS17">
    <w:name w:val="LLS_1_7"/>
    <w:rsid w:val="006E66A4"/>
    <w:rPr>
      <w:rFonts w:ascii="Courier New" w:hAnsi="Courier New"/>
    </w:rPr>
  </w:style>
  <w:style w:type="character" w:customStyle="1" w:styleId="LLS18">
    <w:name w:val="LLS_1_8"/>
    <w:rsid w:val="006E66A4"/>
    <w:rPr>
      <w:rFonts w:ascii="Wingdings" w:hAnsi="Wingdings"/>
    </w:rPr>
  </w:style>
  <w:style w:type="numbering" w:customStyle="1" w:styleId="WW8Num1">
    <w:name w:val="WW8Num1"/>
    <w:basedOn w:val="NoList"/>
    <w:rsid w:val="006E66A4"/>
    <w:pPr>
      <w:numPr>
        <w:numId w:val="1"/>
      </w:numPr>
    </w:pPr>
  </w:style>
  <w:style w:type="numbering" w:customStyle="1" w:styleId="WW8Num2">
    <w:name w:val="WW8Num2"/>
    <w:basedOn w:val="NoList"/>
    <w:rsid w:val="006E66A4"/>
    <w:pPr>
      <w:numPr>
        <w:numId w:val="2"/>
      </w:numPr>
    </w:pPr>
  </w:style>
  <w:style w:type="numbering" w:customStyle="1" w:styleId="WW8Num3">
    <w:name w:val="WW8Num3"/>
    <w:basedOn w:val="NoList"/>
    <w:rsid w:val="006E66A4"/>
    <w:pPr>
      <w:numPr>
        <w:numId w:val="3"/>
      </w:numPr>
    </w:pPr>
  </w:style>
  <w:style w:type="numbering" w:customStyle="1" w:styleId="WW8Num4">
    <w:name w:val="WW8Num4"/>
    <w:basedOn w:val="NoList"/>
    <w:rsid w:val="006E66A4"/>
    <w:pPr>
      <w:numPr>
        <w:numId w:val="4"/>
      </w:numPr>
    </w:pPr>
  </w:style>
  <w:style w:type="numbering" w:customStyle="1" w:styleId="LS2">
    <w:name w:val="LS2"/>
    <w:basedOn w:val="NoList"/>
    <w:rsid w:val="006E66A4"/>
    <w:pPr>
      <w:numPr>
        <w:numId w:val="5"/>
      </w:numPr>
    </w:pPr>
  </w:style>
  <w:style w:type="numbering" w:customStyle="1" w:styleId="LS1">
    <w:name w:val="LS1"/>
    <w:basedOn w:val="NoList"/>
    <w:rsid w:val="006E66A4"/>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Integrative Learning Rubric, Definiti...</vt:lpstr>
    </vt:vector>
  </TitlesOfParts>
  <Company/>
  <LinksUpToDate>false</LinksUpToDate>
  <CharactersWithSpaces>7819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Learning Rubric, Definiti...</dc:title>
  <dc:creator>Wende Morgaine</dc:creator>
  <cp:lastModifiedBy>doxsee</cp:lastModifiedBy>
  <cp:revision>2</cp:revision>
  <cp:lastPrinted>2009-08-27T15:36:00Z</cp:lastPrinted>
  <dcterms:created xsi:type="dcterms:W3CDTF">2011-02-22T00:18:00Z</dcterms:created>
  <dcterms:modified xsi:type="dcterms:W3CDTF">2011-02-22T00:18:00Z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