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5F7D" w14:textId="77777777" w:rsidR="00D770EC" w:rsidRPr="00684F0B" w:rsidRDefault="00D770EC" w:rsidP="007F1401">
      <w:pPr>
        <w:pStyle w:val="ListParagraph"/>
        <w:numPr>
          <w:ilvl w:val="0"/>
          <w:numId w:val="1"/>
        </w:numPr>
        <w:ind w:left="360"/>
        <w:rPr>
          <w:rFonts w:eastAsiaTheme="majorEastAsia" w:cstheme="majorBidi"/>
          <w:b/>
          <w:bCs/>
          <w:color w:val="000000" w:themeColor="text1"/>
        </w:rPr>
      </w:pPr>
      <w:r w:rsidRPr="6C4B3B2C">
        <w:rPr>
          <w:b/>
          <w:bCs/>
          <w:color w:val="000000" w:themeColor="text1"/>
        </w:rPr>
        <w:t>Preamble</w:t>
      </w:r>
    </w:p>
    <w:p w14:paraId="7620FAF3" w14:textId="77777777" w:rsidR="00D770EC" w:rsidRPr="00684F0B" w:rsidRDefault="00D770EC" w:rsidP="00D770EC">
      <w:pPr>
        <w:jc w:val="both"/>
        <w:rPr>
          <w:color w:val="000000" w:themeColor="text1"/>
        </w:rPr>
      </w:pPr>
    </w:p>
    <w:p w14:paraId="6F42749C" w14:textId="4C4C4862" w:rsidR="003B1ECC" w:rsidRDefault="00D770EC" w:rsidP="74666B09">
      <w:pPr>
        <w:widowControl w:val="0"/>
        <w:autoSpaceDE w:val="0"/>
        <w:autoSpaceDN w:val="0"/>
        <w:adjustRightInd w:val="0"/>
        <w:rPr>
          <w:rFonts w:cs="Calibri"/>
        </w:rPr>
      </w:pPr>
      <w:r w:rsidRPr="2D7D516B">
        <w:rPr>
          <w:rFonts w:cs="Calibri"/>
        </w:rPr>
        <w:t xml:space="preserve">Career Instructional faculty (Career </w:t>
      </w:r>
      <w:r w:rsidR="003C5705">
        <w:rPr>
          <w:rFonts w:cs="Calibri"/>
        </w:rPr>
        <w:t>Faculty</w:t>
      </w:r>
      <w:r w:rsidRPr="2D7D516B">
        <w:rPr>
          <w:rFonts w:cs="Calibri"/>
        </w:rPr>
        <w:t>) are vital to the life of the University.</w:t>
      </w:r>
      <w:r w:rsidR="003B1ECC" w:rsidRPr="2D7D516B">
        <w:rPr>
          <w:rFonts w:cs="Calibri"/>
        </w:rPr>
        <w:t xml:space="preserve"> In the AEI, faculty members are </w:t>
      </w:r>
      <w:r w:rsidR="003C5705">
        <w:rPr>
          <w:rFonts w:cs="Calibri"/>
        </w:rPr>
        <w:t>Career</w:t>
      </w:r>
      <w:r w:rsidR="224B1D19" w:rsidRPr="2D7D516B">
        <w:rPr>
          <w:rFonts w:cs="Calibri"/>
        </w:rPr>
        <w:t xml:space="preserve"> or Pro </w:t>
      </w:r>
      <w:proofErr w:type="spellStart"/>
      <w:r w:rsidR="224B1D19" w:rsidRPr="2D7D516B">
        <w:rPr>
          <w:rFonts w:cs="Calibri"/>
        </w:rPr>
        <w:t>Tem</w:t>
      </w:r>
      <w:proofErr w:type="spellEnd"/>
      <w:r w:rsidR="003B1ECC" w:rsidRPr="2D7D516B">
        <w:rPr>
          <w:rFonts w:cs="Calibri"/>
        </w:rPr>
        <w:t xml:space="preserve">. </w:t>
      </w:r>
      <w:r w:rsidR="6C2F8FE7" w:rsidRPr="2D7D516B">
        <w:rPr>
          <w:rFonts w:cs="Calibri"/>
        </w:rPr>
        <w:t xml:space="preserve">For the </w:t>
      </w:r>
      <w:r w:rsidR="003C5705">
        <w:rPr>
          <w:rFonts w:cs="Calibri"/>
        </w:rPr>
        <w:t>Career</w:t>
      </w:r>
      <w:r w:rsidR="6C2F8FE7" w:rsidRPr="2D7D516B">
        <w:rPr>
          <w:rFonts w:cs="Calibri"/>
        </w:rPr>
        <w:t xml:space="preserve"> instructors, their </w:t>
      </w:r>
      <w:r w:rsidRPr="2D7D516B">
        <w:rPr>
          <w:rFonts w:cs="Calibri"/>
        </w:rPr>
        <w:t xml:space="preserve">teaching role is most visible, but they also administer programs, </w:t>
      </w:r>
      <w:r w:rsidR="003B1ECC" w:rsidRPr="2D7D516B">
        <w:rPr>
          <w:rFonts w:cs="Calibri"/>
        </w:rPr>
        <w:t xml:space="preserve">coordinate student services, </w:t>
      </w:r>
      <w:r w:rsidRPr="2D7D516B">
        <w:rPr>
          <w:rFonts w:cs="Calibri"/>
        </w:rPr>
        <w:t>oversee curricula, participate in university governance</w:t>
      </w:r>
      <w:r w:rsidR="4B195B0B" w:rsidRPr="2D7D516B">
        <w:rPr>
          <w:rFonts w:cs="Calibri"/>
        </w:rPr>
        <w:t xml:space="preserve">, and contribute to the profession </w:t>
      </w:r>
      <w:r w:rsidR="0F2E1674" w:rsidRPr="2D7D516B">
        <w:rPr>
          <w:rFonts w:cs="Calibri"/>
        </w:rPr>
        <w:t>within the university, nationally, and globally</w:t>
      </w:r>
      <w:r w:rsidRPr="2D7D516B">
        <w:rPr>
          <w:rFonts w:cs="Calibri"/>
        </w:rPr>
        <w:t xml:space="preserve">. Through advising and encouragement of students’ intellectual activity outside of class, they enhance both the quantity and quality of the education we provide. This document is meant to make all contributions by Career </w:t>
      </w:r>
      <w:r w:rsidR="15A8748A" w:rsidRPr="2D7D516B">
        <w:rPr>
          <w:rFonts w:cs="Calibri"/>
        </w:rPr>
        <w:t xml:space="preserve">and Pro </w:t>
      </w:r>
      <w:proofErr w:type="spellStart"/>
      <w:r w:rsidR="15A8748A" w:rsidRPr="2D7D516B">
        <w:rPr>
          <w:rFonts w:cs="Calibri"/>
        </w:rPr>
        <w:t>Tem</w:t>
      </w:r>
      <w:proofErr w:type="spellEnd"/>
      <w:r w:rsidRPr="2D7D516B">
        <w:rPr>
          <w:rFonts w:cs="Calibri"/>
        </w:rPr>
        <w:t xml:space="preserve"> </w:t>
      </w:r>
      <w:r w:rsidR="003C5705">
        <w:rPr>
          <w:rFonts w:cs="Calibri"/>
        </w:rPr>
        <w:t xml:space="preserve">Faculty </w:t>
      </w:r>
      <w:r w:rsidRPr="2D7D516B">
        <w:rPr>
          <w:rFonts w:cs="Calibri"/>
        </w:rPr>
        <w:t>apparent and to describe how they fit into a standard workload.</w:t>
      </w:r>
    </w:p>
    <w:p w14:paraId="2D065FC1" w14:textId="77777777" w:rsidR="008B024A" w:rsidRPr="00684F0B" w:rsidRDefault="008B024A" w:rsidP="74666B09">
      <w:pPr>
        <w:widowControl w:val="0"/>
        <w:autoSpaceDE w:val="0"/>
        <w:autoSpaceDN w:val="0"/>
        <w:adjustRightInd w:val="0"/>
        <w:rPr>
          <w:rFonts w:cs="Calibri"/>
        </w:rPr>
      </w:pPr>
    </w:p>
    <w:p w14:paraId="550E9806" w14:textId="705D8ACC" w:rsidR="003B1ECC" w:rsidRDefault="003B1ECC" w:rsidP="007F1401">
      <w:pPr>
        <w:rPr>
          <w:rFonts w:eastAsia="Times New Roman"/>
        </w:rPr>
      </w:pPr>
      <w:r w:rsidRPr="6C4B3B2C">
        <w:rPr>
          <w:rFonts w:eastAsia="Times New Roman"/>
        </w:rPr>
        <w:t xml:space="preserve">AEI is </w:t>
      </w:r>
      <w:r w:rsidR="36EC93E6" w:rsidRPr="007F1401">
        <w:rPr>
          <w:rFonts w:eastAsia="Times New Roman"/>
        </w:rPr>
        <w:t>composed</w:t>
      </w:r>
      <w:r w:rsidR="36EC93E6" w:rsidRPr="6C4B3B2C">
        <w:rPr>
          <w:rFonts w:eastAsia="Times New Roman"/>
        </w:rPr>
        <w:t xml:space="preserve"> </w:t>
      </w:r>
      <w:r w:rsidRPr="6C4B3B2C">
        <w:rPr>
          <w:rFonts w:eastAsia="Times New Roman"/>
        </w:rPr>
        <w:t xml:space="preserve">of </w:t>
      </w:r>
      <w:r w:rsidR="0E82AD45" w:rsidRPr="6C4B3B2C">
        <w:rPr>
          <w:rFonts w:eastAsia="Times New Roman"/>
        </w:rPr>
        <w:t xml:space="preserve">the </w:t>
      </w:r>
      <w:r w:rsidRPr="6C4B3B2C">
        <w:rPr>
          <w:rFonts w:eastAsia="Times New Roman"/>
        </w:rPr>
        <w:t>Academic English for International Students program (AEIS), serving matriculated UO students</w:t>
      </w:r>
      <w:r w:rsidR="00BF492F" w:rsidRPr="6C4B3B2C">
        <w:rPr>
          <w:rFonts w:eastAsia="Times New Roman"/>
        </w:rPr>
        <w:t>;</w:t>
      </w:r>
      <w:r w:rsidRPr="6C4B3B2C">
        <w:rPr>
          <w:rFonts w:eastAsia="Times New Roman"/>
        </w:rPr>
        <w:t xml:space="preserve"> </w:t>
      </w:r>
      <w:r w:rsidR="4B1FA3DC" w:rsidRPr="6C4B3B2C">
        <w:rPr>
          <w:rFonts w:eastAsia="Times New Roman"/>
        </w:rPr>
        <w:t xml:space="preserve">GRST </w:t>
      </w:r>
      <w:r w:rsidRPr="6C4B3B2C">
        <w:rPr>
          <w:rFonts w:eastAsia="Times New Roman"/>
        </w:rPr>
        <w:t>the Intensive English Program (IEP), serving non-matriculated international students</w:t>
      </w:r>
      <w:r w:rsidR="00BF492F" w:rsidRPr="6C4B3B2C">
        <w:rPr>
          <w:rFonts w:eastAsia="Times New Roman"/>
        </w:rPr>
        <w:t>;</w:t>
      </w:r>
      <w:r w:rsidR="0922715D" w:rsidRPr="6C4B3B2C">
        <w:rPr>
          <w:rFonts w:eastAsia="Times New Roman"/>
        </w:rPr>
        <w:t xml:space="preserve"> and </w:t>
      </w:r>
      <w:r w:rsidR="001170F7" w:rsidRPr="6C4B3B2C">
        <w:rPr>
          <w:rFonts w:eastAsia="Times New Roman"/>
        </w:rPr>
        <w:t xml:space="preserve">innovative or </w:t>
      </w:r>
      <w:r w:rsidR="0922715D" w:rsidRPr="6C4B3B2C">
        <w:rPr>
          <w:rFonts w:eastAsia="Times New Roman"/>
        </w:rPr>
        <w:t>special programs</w:t>
      </w:r>
      <w:r w:rsidR="00BF492F" w:rsidRPr="6C4B3B2C">
        <w:rPr>
          <w:rFonts w:eastAsia="Times New Roman"/>
        </w:rPr>
        <w:t>.</w:t>
      </w:r>
      <w:r w:rsidR="6C4434AE" w:rsidRPr="6C4B3B2C">
        <w:rPr>
          <w:rFonts w:eastAsia="Times New Roman"/>
        </w:rPr>
        <w:t xml:space="preserve"> </w:t>
      </w:r>
      <w:r w:rsidRPr="6C4B3B2C">
        <w:rPr>
          <w:rFonts w:eastAsia="Times New Roman"/>
        </w:rPr>
        <w:t>Instructors may work in more than one program.</w:t>
      </w:r>
    </w:p>
    <w:p w14:paraId="1DA6E8BE" w14:textId="77777777" w:rsidR="001170F7" w:rsidRPr="00684F0B" w:rsidRDefault="001170F7" w:rsidP="00D770EC">
      <w:pPr>
        <w:rPr>
          <w:color w:val="000000" w:themeColor="text1"/>
        </w:rPr>
      </w:pPr>
    </w:p>
    <w:p w14:paraId="18817520" w14:textId="4FA2B237" w:rsidR="00D770EC" w:rsidRPr="00684F0B" w:rsidRDefault="00D770EC" w:rsidP="77AC8933">
      <w:pPr>
        <w:rPr>
          <w:b/>
          <w:bCs/>
          <w:color w:val="000000" w:themeColor="text1"/>
        </w:rPr>
      </w:pPr>
      <w:r w:rsidRPr="6C4B3B2C">
        <w:rPr>
          <w:b/>
          <w:bCs/>
          <w:color w:val="000000" w:themeColor="text1"/>
        </w:rPr>
        <w:t>II.</w:t>
      </w:r>
      <w:r w:rsidR="6D9B9884" w:rsidRPr="6C4B3B2C">
        <w:rPr>
          <w:b/>
          <w:bCs/>
          <w:color w:val="000000" w:themeColor="text1"/>
        </w:rPr>
        <w:t xml:space="preserve"> </w:t>
      </w:r>
      <w:r>
        <w:tab/>
      </w:r>
      <w:r w:rsidRPr="6C4B3B2C">
        <w:rPr>
          <w:b/>
          <w:bCs/>
          <w:color w:val="000000" w:themeColor="text1"/>
        </w:rPr>
        <w:t xml:space="preserve">Workload expectations for Career </w:t>
      </w:r>
      <w:r w:rsidR="003C5705">
        <w:rPr>
          <w:b/>
          <w:bCs/>
          <w:color w:val="000000" w:themeColor="text1"/>
        </w:rPr>
        <w:t>Faculty</w:t>
      </w:r>
      <w:r w:rsidR="003C5705" w:rsidRPr="6C4B3B2C">
        <w:rPr>
          <w:b/>
          <w:bCs/>
          <w:color w:val="000000" w:themeColor="text1"/>
        </w:rPr>
        <w:t xml:space="preserve"> </w:t>
      </w:r>
    </w:p>
    <w:p w14:paraId="450606EE" w14:textId="77777777" w:rsidR="001170F7" w:rsidRDefault="001170F7" w:rsidP="001170F7">
      <w:pPr>
        <w:rPr>
          <w:color w:val="000000" w:themeColor="text1"/>
        </w:rPr>
      </w:pPr>
    </w:p>
    <w:p w14:paraId="4236E87D" w14:textId="0D39290F" w:rsidR="001170F7" w:rsidRDefault="00C21692" w:rsidP="007F1401">
      <w:pPr>
        <w:spacing w:line="259" w:lineRule="auto"/>
        <w:rPr>
          <w:color w:val="000000" w:themeColor="text1"/>
        </w:rPr>
      </w:pPr>
      <w:r>
        <w:rPr>
          <w:rFonts w:ascii="Calibri" w:eastAsia="Times New Roman" w:hAnsi="Calibri"/>
          <w:color w:val="000000" w:themeColor="text1"/>
        </w:rPr>
        <w:t xml:space="preserve">Career Faculty will have an annual FTE. Course and service loads may fluctuate term to term but will reflect </w:t>
      </w:r>
      <w:r w:rsidR="00B46B03">
        <w:rPr>
          <w:rFonts w:ascii="Calibri" w:eastAsia="Times New Roman" w:hAnsi="Calibri"/>
          <w:color w:val="000000" w:themeColor="text1"/>
        </w:rPr>
        <w:t xml:space="preserve">the standard </w:t>
      </w:r>
      <w:r>
        <w:rPr>
          <w:rFonts w:ascii="Calibri" w:eastAsia="Times New Roman" w:hAnsi="Calibri"/>
          <w:color w:val="000000" w:themeColor="text1"/>
        </w:rPr>
        <w:t>90% devoted to teaching and 10% devoted to service over the course of an academic year,</w:t>
      </w:r>
      <w:r w:rsidR="00B46B03">
        <w:rPr>
          <w:rFonts w:ascii="Calibri" w:eastAsia="Times New Roman" w:hAnsi="Calibri"/>
          <w:color w:val="000000" w:themeColor="text1"/>
        </w:rPr>
        <w:t xml:space="preserve"> except</w:t>
      </w:r>
      <w:r>
        <w:rPr>
          <w:rFonts w:ascii="Calibri" w:eastAsia="Times New Roman" w:hAnsi="Calibri"/>
          <w:color w:val="000000" w:themeColor="text1"/>
        </w:rPr>
        <w:t xml:space="preserve"> where individual assignments have been adjusted to reflect other duties.</w:t>
      </w:r>
      <w:r w:rsidR="001170F7" w:rsidRPr="6C4B3B2C">
        <w:rPr>
          <w:color w:val="000000" w:themeColor="text1"/>
        </w:rPr>
        <w:t xml:space="preserve"> </w:t>
      </w:r>
      <w:r w:rsidR="242921AD" w:rsidRPr="6C4B3B2C">
        <w:rPr>
          <w:color w:val="000000" w:themeColor="text1"/>
        </w:rPr>
        <w:t>S</w:t>
      </w:r>
      <w:r w:rsidR="3248CD3D" w:rsidRPr="6C4B3B2C">
        <w:rPr>
          <w:color w:val="000000" w:themeColor="text1"/>
        </w:rPr>
        <w:t xml:space="preserve">ervice and professional development </w:t>
      </w:r>
      <w:r w:rsidR="4CB09A03" w:rsidRPr="007F1401">
        <w:rPr>
          <w:color w:val="000000" w:themeColor="text1"/>
        </w:rPr>
        <w:t>expectations</w:t>
      </w:r>
      <w:r w:rsidR="4CB09A03" w:rsidRPr="6C4B3B2C">
        <w:rPr>
          <w:color w:val="000000" w:themeColor="text1"/>
        </w:rPr>
        <w:t xml:space="preserve"> </w:t>
      </w:r>
      <w:r w:rsidR="6A871C0A" w:rsidRPr="6C4B3B2C">
        <w:rPr>
          <w:color w:val="000000" w:themeColor="text1"/>
        </w:rPr>
        <w:t xml:space="preserve">will </w:t>
      </w:r>
      <w:r w:rsidR="18FA5382" w:rsidRPr="6C4B3B2C">
        <w:rPr>
          <w:color w:val="000000" w:themeColor="text1"/>
        </w:rPr>
        <w:t xml:space="preserve">be proportional to </w:t>
      </w:r>
      <w:r w:rsidR="22C56AD8" w:rsidRPr="6C4B3B2C">
        <w:rPr>
          <w:color w:val="000000" w:themeColor="text1"/>
        </w:rPr>
        <w:t>annual</w:t>
      </w:r>
      <w:r w:rsidR="001170F7" w:rsidRPr="6C4B3B2C">
        <w:rPr>
          <w:color w:val="000000" w:themeColor="text1"/>
        </w:rPr>
        <w:t xml:space="preserve"> FTE. </w:t>
      </w:r>
      <w:r w:rsidR="6D440CE9" w:rsidRPr="6C4B3B2C">
        <w:rPr>
          <w:color w:val="000000" w:themeColor="text1"/>
        </w:rPr>
        <w:t xml:space="preserve"> </w:t>
      </w:r>
    </w:p>
    <w:p w14:paraId="39771AED" w14:textId="77777777" w:rsidR="00D770EC" w:rsidRPr="00684F0B" w:rsidRDefault="00D770EC" w:rsidP="00D770EC">
      <w:pPr>
        <w:rPr>
          <w:color w:val="000000" w:themeColor="text1"/>
        </w:rPr>
      </w:pPr>
    </w:p>
    <w:p w14:paraId="2950C8D2" w14:textId="77777777" w:rsidR="00D770EC" w:rsidRPr="00684F0B" w:rsidRDefault="00D770EC" w:rsidP="00D770EC">
      <w:pPr>
        <w:pStyle w:val="ListParagraph"/>
        <w:numPr>
          <w:ilvl w:val="0"/>
          <w:numId w:val="2"/>
        </w:numPr>
        <w:rPr>
          <w:b/>
          <w:color w:val="000000" w:themeColor="text1"/>
        </w:rPr>
      </w:pPr>
      <w:r w:rsidRPr="00684F0B">
        <w:rPr>
          <w:b/>
          <w:color w:val="000000" w:themeColor="text1"/>
        </w:rPr>
        <w:t>Proportions of 1.0 FTE expected for teaching and other activities</w:t>
      </w:r>
    </w:p>
    <w:p w14:paraId="1B34E826" w14:textId="77777777" w:rsidR="00D770EC" w:rsidRPr="00684F0B" w:rsidRDefault="00D770EC" w:rsidP="00D770EC">
      <w:pPr>
        <w:pStyle w:val="ListParagraph"/>
        <w:ind w:left="1440"/>
        <w:rPr>
          <w:color w:val="000000" w:themeColor="text1"/>
        </w:rPr>
      </w:pPr>
    </w:p>
    <w:p w14:paraId="49D45746" w14:textId="03222CFE" w:rsidR="00FC2544" w:rsidRDefault="003B1ECC" w:rsidP="6C4B3B2C">
      <w:pPr>
        <w:ind w:left="1440"/>
        <w:rPr>
          <w:color w:val="000000" w:themeColor="text1"/>
        </w:rPr>
      </w:pPr>
      <w:r>
        <w:t xml:space="preserve">AEI </w:t>
      </w:r>
      <w:r w:rsidR="001844E8" w:rsidRPr="6C4B3B2C">
        <w:rPr>
          <w:color w:val="000000" w:themeColor="text1"/>
        </w:rPr>
        <w:t xml:space="preserve">Career </w:t>
      </w:r>
      <w:r w:rsidR="00B46B03">
        <w:rPr>
          <w:color w:val="000000" w:themeColor="text1"/>
        </w:rPr>
        <w:t>Faculty</w:t>
      </w:r>
      <w:r w:rsidR="001844E8" w:rsidRPr="6C4B3B2C">
        <w:rPr>
          <w:color w:val="000000" w:themeColor="text1"/>
        </w:rPr>
        <w:t xml:space="preserve"> are expected to devote 90% of their </w:t>
      </w:r>
      <w:r w:rsidRPr="6C4B3B2C">
        <w:rPr>
          <w:color w:val="000000" w:themeColor="text1"/>
        </w:rPr>
        <w:t xml:space="preserve">assigned </w:t>
      </w:r>
      <w:r w:rsidR="001844E8" w:rsidRPr="6C4B3B2C">
        <w:rPr>
          <w:color w:val="000000" w:themeColor="text1"/>
        </w:rPr>
        <w:t>FTE effort to teaching and 10% to service, scholarship, and professional development</w:t>
      </w:r>
      <w:r w:rsidR="00B46B03">
        <w:rPr>
          <w:color w:val="000000" w:themeColor="text1"/>
        </w:rPr>
        <w:t xml:space="preserve"> except </w:t>
      </w:r>
      <w:proofErr w:type="gramStart"/>
      <w:r w:rsidR="00B46B03">
        <w:rPr>
          <w:color w:val="000000" w:themeColor="text1"/>
        </w:rPr>
        <w:t>where</w:t>
      </w:r>
      <w:proofErr w:type="gramEnd"/>
      <w:r w:rsidR="00B46B03">
        <w:rPr>
          <w:color w:val="000000" w:themeColor="text1"/>
        </w:rPr>
        <w:t xml:space="preserve"> modified by special assignments</w:t>
      </w:r>
      <w:r w:rsidR="001844E8" w:rsidRPr="6C4B3B2C">
        <w:rPr>
          <w:color w:val="000000" w:themeColor="text1"/>
        </w:rPr>
        <w:t xml:space="preserve">. Modifications of these percentages for special work assignments and special types of </w:t>
      </w:r>
      <w:r w:rsidR="00B46B03">
        <w:rPr>
          <w:color w:val="000000" w:themeColor="text1"/>
        </w:rPr>
        <w:t>Career Faculty</w:t>
      </w:r>
      <w:r w:rsidR="001844E8" w:rsidRPr="6C4B3B2C">
        <w:rPr>
          <w:color w:val="000000" w:themeColor="text1"/>
        </w:rPr>
        <w:t xml:space="preserve"> are described below. </w:t>
      </w:r>
    </w:p>
    <w:p w14:paraId="4EE4B702" w14:textId="77777777" w:rsidR="001844E8" w:rsidRPr="00684F0B" w:rsidRDefault="001844E8" w:rsidP="00C93276">
      <w:pPr>
        <w:ind w:left="1440"/>
        <w:rPr>
          <w:color w:val="000000" w:themeColor="text1"/>
        </w:rPr>
      </w:pPr>
    </w:p>
    <w:p w14:paraId="78A70802" w14:textId="77777777" w:rsidR="00D770EC" w:rsidRPr="00684F0B" w:rsidRDefault="00D770EC" w:rsidP="00D770EC">
      <w:pPr>
        <w:rPr>
          <w:b/>
          <w:color w:val="000000" w:themeColor="text1"/>
        </w:rPr>
      </w:pPr>
      <w:r w:rsidRPr="00684F0B">
        <w:rPr>
          <w:color w:val="000000" w:themeColor="text1"/>
        </w:rPr>
        <w:tab/>
      </w:r>
      <w:r w:rsidRPr="00684F0B">
        <w:rPr>
          <w:b/>
          <w:color w:val="000000" w:themeColor="text1"/>
        </w:rPr>
        <w:t>B.</w:t>
      </w:r>
      <w:r w:rsidRPr="00684F0B">
        <w:rPr>
          <w:b/>
          <w:color w:val="000000" w:themeColor="text1"/>
        </w:rPr>
        <w:tab/>
        <w:t>Teaching</w:t>
      </w:r>
    </w:p>
    <w:p w14:paraId="3AEB2066" w14:textId="77777777" w:rsidR="00D770EC" w:rsidRPr="00684F0B" w:rsidRDefault="00D770EC" w:rsidP="00D770EC">
      <w:pPr>
        <w:rPr>
          <w:color w:val="000000" w:themeColor="text1"/>
        </w:rPr>
      </w:pPr>
    </w:p>
    <w:p w14:paraId="0F71C71A" w14:textId="65E66659" w:rsidR="00FC2544" w:rsidRPr="008B024A" w:rsidRDefault="00D770EC" w:rsidP="008B024A">
      <w:pPr>
        <w:pStyle w:val="ListParagraph"/>
        <w:numPr>
          <w:ilvl w:val="0"/>
          <w:numId w:val="3"/>
        </w:numPr>
        <w:rPr>
          <w:b/>
          <w:color w:val="000000" w:themeColor="text1"/>
        </w:rPr>
      </w:pPr>
      <w:r w:rsidRPr="00684F0B">
        <w:rPr>
          <w:b/>
          <w:color w:val="000000" w:themeColor="text1"/>
        </w:rPr>
        <w:t xml:space="preserve">Standard course load for NTTF whose primary responsibility is teaching </w:t>
      </w:r>
    </w:p>
    <w:p w14:paraId="0DFE626C" w14:textId="702D2A0D" w:rsidR="00FC2544" w:rsidRPr="00684F0B" w:rsidDel="001844E8" w:rsidRDefault="00FC2544" w:rsidP="00FC2544">
      <w:pPr>
        <w:ind w:left="2160"/>
        <w:rPr>
          <w:rFonts w:eastAsia="Times New Roman"/>
        </w:rPr>
      </w:pPr>
    </w:p>
    <w:p w14:paraId="5B37526C" w14:textId="26F0AC17" w:rsidR="0F390BEF" w:rsidRDefault="5A5EE9F1" w:rsidP="004123A4">
      <w:pPr>
        <w:ind w:left="2160"/>
        <w:rPr>
          <w:rFonts w:eastAsia="Times New Roman"/>
        </w:rPr>
      </w:pPr>
      <w:r w:rsidRPr="007F1401">
        <w:rPr>
          <w:rFonts w:eastAsia="Times New Roman"/>
        </w:rPr>
        <w:t>A</w:t>
      </w:r>
      <w:r w:rsidRPr="6C4B3B2C">
        <w:rPr>
          <w:rFonts w:eastAsia="Times New Roman"/>
        </w:rPr>
        <w:t xml:space="preserve"> </w:t>
      </w:r>
      <w:r w:rsidR="008B024A" w:rsidRPr="6C4B3B2C">
        <w:rPr>
          <w:rFonts w:eastAsia="Times New Roman"/>
        </w:rPr>
        <w:t>full</w:t>
      </w:r>
      <w:r w:rsidR="004123A4">
        <w:rPr>
          <w:rFonts w:eastAsia="Times New Roman"/>
        </w:rPr>
        <w:t>-</w:t>
      </w:r>
      <w:r w:rsidR="008B024A" w:rsidRPr="6C4B3B2C">
        <w:rPr>
          <w:rFonts w:eastAsia="Times New Roman"/>
        </w:rPr>
        <w:t xml:space="preserve">time </w:t>
      </w:r>
      <w:r w:rsidR="001844E8" w:rsidRPr="6C4B3B2C">
        <w:rPr>
          <w:rFonts w:eastAsia="Times New Roman"/>
        </w:rPr>
        <w:t xml:space="preserve">course load for </w:t>
      </w:r>
      <w:r w:rsidR="008B024A" w:rsidRPr="6C4B3B2C">
        <w:rPr>
          <w:rFonts w:eastAsia="Times New Roman"/>
        </w:rPr>
        <w:t>AEI faculty</w:t>
      </w:r>
      <w:r w:rsidR="001844E8" w:rsidRPr="6C4B3B2C">
        <w:rPr>
          <w:rFonts w:eastAsia="Times New Roman"/>
        </w:rPr>
        <w:t xml:space="preserve"> during the academic year is</w:t>
      </w:r>
      <w:r w:rsidR="2F70A04E" w:rsidRPr="6C4B3B2C">
        <w:rPr>
          <w:rFonts w:eastAsia="Times New Roman"/>
        </w:rPr>
        <w:t xml:space="preserve"> nine</w:t>
      </w:r>
      <w:r w:rsidR="43D5330F" w:rsidRPr="6C4B3B2C">
        <w:rPr>
          <w:rFonts w:eastAsia="Times New Roman"/>
        </w:rPr>
        <w:t xml:space="preserve"> .33 FTE</w:t>
      </w:r>
      <w:r w:rsidR="003B1ECC" w:rsidRPr="6C4B3B2C">
        <w:rPr>
          <w:rFonts w:eastAsia="Times New Roman"/>
        </w:rPr>
        <w:t xml:space="preserve"> courses per year</w:t>
      </w:r>
      <w:r w:rsidR="509426BD" w:rsidRPr="6C4B3B2C">
        <w:rPr>
          <w:rFonts w:eastAsia="Times New Roman"/>
        </w:rPr>
        <w:t xml:space="preserve"> (</w:t>
      </w:r>
      <w:r w:rsidR="008B024A" w:rsidRPr="6C4B3B2C">
        <w:rPr>
          <w:rFonts w:eastAsia="Times New Roman"/>
        </w:rPr>
        <w:t xml:space="preserve">three </w:t>
      </w:r>
      <w:r w:rsidR="509426BD" w:rsidRPr="6C4B3B2C">
        <w:rPr>
          <w:rFonts w:eastAsia="Times New Roman"/>
        </w:rPr>
        <w:t xml:space="preserve">6-hour/4-credit courses x .33 FTE = 1.0 each term or </w:t>
      </w:r>
      <w:r w:rsidR="008B024A" w:rsidRPr="6C4B3B2C">
        <w:rPr>
          <w:rFonts w:eastAsia="Times New Roman"/>
        </w:rPr>
        <w:t>nine</w:t>
      </w:r>
      <w:r w:rsidR="239D9EB0" w:rsidRPr="6C4B3B2C">
        <w:rPr>
          <w:rFonts w:eastAsia="Times New Roman"/>
        </w:rPr>
        <w:t xml:space="preserve"> </w:t>
      </w:r>
      <w:r w:rsidR="509426BD" w:rsidRPr="6C4B3B2C">
        <w:rPr>
          <w:rFonts w:eastAsia="Times New Roman"/>
        </w:rPr>
        <w:t>6-hour/4-credit courses x .</w:t>
      </w:r>
      <w:r w:rsidR="0C405081" w:rsidRPr="6C4B3B2C">
        <w:rPr>
          <w:rFonts w:eastAsia="Times New Roman"/>
        </w:rPr>
        <w:t>11</w:t>
      </w:r>
      <w:r w:rsidR="509426BD" w:rsidRPr="6C4B3B2C">
        <w:rPr>
          <w:rFonts w:eastAsia="Times New Roman"/>
        </w:rPr>
        <w:t>FTE = 1.0</w:t>
      </w:r>
      <w:r w:rsidR="7CC80500" w:rsidRPr="6C4B3B2C">
        <w:rPr>
          <w:rFonts w:eastAsia="Times New Roman"/>
        </w:rPr>
        <w:t xml:space="preserve"> </w:t>
      </w:r>
      <w:r w:rsidR="008B024A" w:rsidRPr="6C4B3B2C">
        <w:rPr>
          <w:rFonts w:eastAsia="Times New Roman"/>
        </w:rPr>
        <w:t>annualized</w:t>
      </w:r>
      <w:r w:rsidR="509426BD" w:rsidRPr="6C4B3B2C">
        <w:rPr>
          <w:rFonts w:eastAsia="Times New Roman"/>
        </w:rPr>
        <w:t>)</w:t>
      </w:r>
      <w:r w:rsidR="007D7A57" w:rsidRPr="6C4B3B2C">
        <w:rPr>
          <w:rFonts w:eastAsia="Times New Roman"/>
        </w:rPr>
        <w:t>.</w:t>
      </w:r>
      <w:r w:rsidR="00BF492F" w:rsidRPr="6C4B3B2C">
        <w:rPr>
          <w:rFonts w:eastAsia="Times New Roman"/>
        </w:rPr>
        <w:t xml:space="preserve"> </w:t>
      </w:r>
    </w:p>
    <w:p w14:paraId="4A96330A" w14:textId="77777777" w:rsidR="004123A4" w:rsidRDefault="004123A4" w:rsidP="004123A4">
      <w:pPr>
        <w:ind w:left="2160"/>
        <w:rPr>
          <w:rFonts w:eastAsia="Times New Roman"/>
        </w:rPr>
      </w:pPr>
    </w:p>
    <w:p w14:paraId="500C3711" w14:textId="7198F4FD" w:rsidR="26CE7518" w:rsidRDefault="26CE7518" w:rsidP="43C0BCA9">
      <w:pPr>
        <w:ind w:left="2160"/>
        <w:rPr>
          <w:rFonts w:ascii="Calibri" w:eastAsia="Times New Roman" w:hAnsi="Calibri"/>
        </w:rPr>
      </w:pPr>
      <w:r w:rsidRPr="43C0BCA9">
        <w:rPr>
          <w:rFonts w:ascii="Calibri" w:eastAsia="Times New Roman" w:hAnsi="Calibri"/>
        </w:rPr>
        <w:t>Some course FTE may correspond to a different amount of FTE than th</w:t>
      </w:r>
      <w:r w:rsidR="5F0CC3E5" w:rsidRPr="43C0BCA9">
        <w:rPr>
          <w:rFonts w:ascii="Calibri" w:eastAsia="Times New Roman" w:hAnsi="Calibri"/>
        </w:rPr>
        <w:t>e</w:t>
      </w:r>
      <w:r w:rsidRPr="43C0BCA9">
        <w:rPr>
          <w:rFonts w:ascii="Calibri" w:eastAsia="Times New Roman" w:hAnsi="Calibri"/>
        </w:rPr>
        <w:t xml:space="preserve"> standard .33 depending on the need of the course. </w:t>
      </w:r>
    </w:p>
    <w:p w14:paraId="3129EB02" w14:textId="77777777" w:rsidR="007546FE" w:rsidRPr="00684F0B" w:rsidRDefault="007546FE" w:rsidP="007F1401">
      <w:pPr>
        <w:rPr>
          <w:rFonts w:eastAsia="Times New Roman"/>
        </w:rPr>
      </w:pPr>
    </w:p>
    <w:p w14:paraId="08D7297C" w14:textId="588C3E65" w:rsidR="00CB785F" w:rsidRPr="00684F0B" w:rsidRDefault="00BF76C1" w:rsidP="00AB1DB4">
      <w:pPr>
        <w:ind w:left="2160"/>
      </w:pPr>
      <w:r w:rsidRPr="2455B1E4">
        <w:rPr>
          <w:rFonts w:eastAsia="Times New Roman"/>
        </w:rPr>
        <w:lastRenderedPageBreak/>
        <w:t xml:space="preserve">AEI faculty </w:t>
      </w:r>
      <w:r w:rsidR="00AB1DB4" w:rsidRPr="2455B1E4">
        <w:rPr>
          <w:rFonts w:eastAsia="Times New Roman"/>
        </w:rPr>
        <w:t xml:space="preserve">may be </w:t>
      </w:r>
      <w:r w:rsidRPr="2455B1E4">
        <w:rPr>
          <w:rFonts w:eastAsia="Times New Roman"/>
        </w:rPr>
        <w:t>affiliated with other UO programs</w:t>
      </w:r>
      <w:r w:rsidR="003B1ECC" w:rsidRPr="2455B1E4">
        <w:rPr>
          <w:rFonts w:eastAsia="Times New Roman"/>
        </w:rPr>
        <w:t xml:space="preserve">. </w:t>
      </w:r>
      <w:r w:rsidRPr="2455B1E4">
        <w:rPr>
          <w:rFonts w:eastAsia="Times New Roman"/>
        </w:rPr>
        <w:t>AEI faculty teach</w:t>
      </w:r>
      <w:r w:rsidR="00AB1DB4" w:rsidRPr="2455B1E4">
        <w:rPr>
          <w:rFonts w:eastAsia="Times New Roman"/>
        </w:rPr>
        <w:t xml:space="preserve"> or administer programs</w:t>
      </w:r>
      <w:r w:rsidRPr="2455B1E4">
        <w:rPr>
          <w:rFonts w:eastAsia="Times New Roman"/>
        </w:rPr>
        <w:t xml:space="preserve"> in the Linguistics Department</w:t>
      </w:r>
      <w:r w:rsidR="00AB1DB4" w:rsidRPr="2455B1E4">
        <w:rPr>
          <w:rFonts w:eastAsia="Times New Roman"/>
        </w:rPr>
        <w:t>, Northwest Indigenous Languages Institute (NILI), and Composition</w:t>
      </w:r>
      <w:r w:rsidR="7A0C55E9" w:rsidRPr="2455B1E4">
        <w:rPr>
          <w:rFonts w:eastAsia="Times New Roman"/>
        </w:rPr>
        <w:t>, etc</w:t>
      </w:r>
      <w:r w:rsidR="00AB1DB4" w:rsidRPr="2455B1E4">
        <w:rPr>
          <w:rFonts w:eastAsia="Times New Roman"/>
        </w:rPr>
        <w:t xml:space="preserve">. Further, AEI </w:t>
      </w:r>
      <w:r w:rsidR="41759CF5" w:rsidRPr="2455B1E4">
        <w:rPr>
          <w:rFonts w:eastAsia="Times New Roman"/>
        </w:rPr>
        <w:t>f</w:t>
      </w:r>
      <w:r w:rsidRPr="2455B1E4">
        <w:rPr>
          <w:rFonts w:eastAsia="Times New Roman"/>
        </w:rPr>
        <w:t xml:space="preserve">aculty provide observation, internship and practicum opportunities for </w:t>
      </w:r>
      <w:r w:rsidR="7CB4526C" w:rsidRPr="2455B1E4">
        <w:rPr>
          <w:rFonts w:eastAsia="Times New Roman"/>
        </w:rPr>
        <w:t xml:space="preserve">undergraduate and </w:t>
      </w:r>
      <w:r w:rsidRPr="2455B1E4">
        <w:rPr>
          <w:rFonts w:eastAsia="Times New Roman"/>
        </w:rPr>
        <w:t>graduate students</w:t>
      </w:r>
      <w:r w:rsidR="00AB1DB4" w:rsidRPr="2455B1E4">
        <w:rPr>
          <w:rFonts w:eastAsia="Times New Roman"/>
        </w:rPr>
        <w:t xml:space="preserve"> and </w:t>
      </w:r>
      <w:r w:rsidRPr="2455B1E4">
        <w:rPr>
          <w:rFonts w:eastAsia="Times New Roman"/>
        </w:rPr>
        <w:t xml:space="preserve">help mentor </w:t>
      </w:r>
      <w:r w:rsidR="00AB1DB4" w:rsidRPr="2455B1E4">
        <w:rPr>
          <w:rFonts w:eastAsia="Times New Roman"/>
        </w:rPr>
        <w:t>GEs</w:t>
      </w:r>
      <w:r w:rsidRPr="2455B1E4">
        <w:rPr>
          <w:rFonts w:eastAsia="Times New Roman"/>
        </w:rPr>
        <w:t xml:space="preserve"> who work in AEI programs.</w:t>
      </w:r>
      <w:r w:rsidR="00AB1DB4" w:rsidRPr="2455B1E4">
        <w:rPr>
          <w:rFonts w:eastAsia="Times New Roman"/>
        </w:rPr>
        <w:t xml:space="preserve"> </w:t>
      </w:r>
      <w:r w:rsidR="00AB1DB4">
        <w:t xml:space="preserve">When AEI faculty members work across departments, the proportion of teaching </w:t>
      </w:r>
      <w:r w:rsidR="00274AC5">
        <w:t>will be</w:t>
      </w:r>
      <w:r w:rsidR="00AB1DB4">
        <w:t xml:space="preserve"> based on </w:t>
      </w:r>
      <w:r w:rsidR="003B1ECC">
        <w:t xml:space="preserve">the </w:t>
      </w:r>
      <w:r w:rsidR="00AB1DB4">
        <w:t>AEI workload equ</w:t>
      </w:r>
      <w:r w:rsidR="003B1ECC">
        <w:t>ivalent</w:t>
      </w:r>
      <w:r w:rsidR="00274AC5">
        <w:t xml:space="preserve"> to </w:t>
      </w:r>
      <w:r w:rsidR="00AB1DB4">
        <w:t xml:space="preserve">the type of course (credit, non-credit, or grant-funded project). </w:t>
      </w:r>
    </w:p>
    <w:p w14:paraId="2CAD64C1" w14:textId="77777777" w:rsidR="007546FE" w:rsidRPr="00684F0B" w:rsidRDefault="007546FE" w:rsidP="007546FE">
      <w:pPr>
        <w:ind w:left="1170"/>
        <w:rPr>
          <w:color w:val="000000" w:themeColor="text1"/>
        </w:rPr>
      </w:pPr>
    </w:p>
    <w:p w14:paraId="02FEB479" w14:textId="77777777" w:rsidR="00D770EC" w:rsidRPr="00684F0B" w:rsidRDefault="00D770EC" w:rsidP="00D770EC">
      <w:pPr>
        <w:pStyle w:val="ListParagraph"/>
        <w:numPr>
          <w:ilvl w:val="0"/>
          <w:numId w:val="3"/>
        </w:numPr>
        <w:ind w:left="2160"/>
        <w:rPr>
          <w:b/>
          <w:color w:val="000000" w:themeColor="text1"/>
        </w:rPr>
      </w:pPr>
      <w:r w:rsidRPr="00684F0B">
        <w:rPr>
          <w:b/>
          <w:color w:val="000000" w:themeColor="text1"/>
        </w:rPr>
        <w:t xml:space="preserve">What is included in teaching </w:t>
      </w:r>
      <w:proofErr w:type="gramStart"/>
      <w:r w:rsidRPr="00684F0B">
        <w:rPr>
          <w:b/>
          <w:color w:val="000000" w:themeColor="text1"/>
        </w:rPr>
        <w:t>activity</w:t>
      </w:r>
      <w:proofErr w:type="gramEnd"/>
    </w:p>
    <w:p w14:paraId="005E2A74" w14:textId="77777777" w:rsidR="00D770EC" w:rsidRPr="00684F0B" w:rsidRDefault="00D770EC" w:rsidP="00D770EC">
      <w:pPr>
        <w:rPr>
          <w:color w:val="000000" w:themeColor="text1"/>
        </w:rPr>
      </w:pPr>
    </w:p>
    <w:p w14:paraId="08B32CA1" w14:textId="17428741" w:rsidR="00373950" w:rsidRDefault="00373950" w:rsidP="00373950">
      <w:pPr>
        <w:widowControl w:val="0"/>
        <w:ind w:left="2160"/>
      </w:pPr>
      <w:r w:rsidRPr="007F1401">
        <w:t>Career</w:t>
      </w:r>
      <w:r>
        <w:t xml:space="preserve"> </w:t>
      </w:r>
      <w:r w:rsidR="00CB0ACF">
        <w:t>Faculty</w:t>
      </w:r>
      <w:r w:rsidRPr="007F1401">
        <w:t xml:space="preserve"> are expected to advise and mentor students </w:t>
      </w:r>
      <w:r w:rsidR="001F29D2">
        <w:t>enrolled in</w:t>
      </w:r>
      <w:r w:rsidRPr="007F1401">
        <w:t xml:space="preserve"> their courses insofar as this is considered a normal part of teaching any course. They should hold regular office hours during the terms in which they teach and make themselves reasonably available to students via email and/or other appropriate online media</w:t>
      </w:r>
      <w:r w:rsidR="5B8ED25C">
        <w:t>.</w:t>
      </w:r>
    </w:p>
    <w:p w14:paraId="5B3E99BE" w14:textId="77777777" w:rsidR="00373950" w:rsidRPr="007F1401" w:rsidRDefault="00373950" w:rsidP="007F1401">
      <w:pPr>
        <w:widowControl w:val="0"/>
        <w:ind w:left="2160"/>
      </w:pPr>
    </w:p>
    <w:p w14:paraId="7BC03C91" w14:textId="6E4B84EE" w:rsidR="00D770EC" w:rsidRPr="00684F0B" w:rsidRDefault="00D60D1C" w:rsidP="00D770EC">
      <w:pPr>
        <w:widowControl w:val="0"/>
        <w:ind w:left="2160"/>
      </w:pPr>
      <w:r>
        <w:t xml:space="preserve">The minimum expectation for office hours for instructors in the IEP and AEIS </w:t>
      </w:r>
      <w:r w:rsidR="00BC59E2">
        <w:t>is</w:t>
      </w:r>
      <w:r>
        <w:t xml:space="preserve"> </w:t>
      </w:r>
      <w:r w:rsidR="003418DB">
        <w:t>2 hours per week</w:t>
      </w:r>
      <w:r>
        <w:t xml:space="preserve">. </w:t>
      </w:r>
      <w:r w:rsidR="00F41300">
        <w:t>The same is true f</w:t>
      </w:r>
      <w:r>
        <w:t xml:space="preserve">or </w:t>
      </w:r>
      <w:r w:rsidR="68119681">
        <w:t>online courses</w:t>
      </w:r>
      <w:r w:rsidR="00F41300">
        <w:t xml:space="preserve">, though the modality in which this occurs may be digital (e.g., email, videoconferencing, through the course management system, etc.). </w:t>
      </w:r>
    </w:p>
    <w:p w14:paraId="57193147" w14:textId="77777777" w:rsidR="00D60D1C" w:rsidRPr="00684F0B" w:rsidRDefault="00D60D1C" w:rsidP="00D770EC">
      <w:pPr>
        <w:widowControl w:val="0"/>
        <w:ind w:left="2160"/>
      </w:pPr>
    </w:p>
    <w:p w14:paraId="5854A5E9" w14:textId="623780C4" w:rsidR="00BC0F43" w:rsidRPr="00684F0B" w:rsidRDefault="00D60D1C" w:rsidP="00D770EC">
      <w:pPr>
        <w:widowControl w:val="0"/>
        <w:ind w:left="2160"/>
      </w:pPr>
      <w:r w:rsidRPr="00684F0B">
        <w:t xml:space="preserve">AEI Career </w:t>
      </w:r>
      <w:r w:rsidR="00CB0ACF">
        <w:t>Faculty</w:t>
      </w:r>
      <w:r w:rsidR="00CB0ACF" w:rsidRPr="00684F0B">
        <w:t xml:space="preserve"> </w:t>
      </w:r>
      <w:r w:rsidRPr="00684F0B">
        <w:t>ar</w:t>
      </w:r>
      <w:r w:rsidR="001E6AED" w:rsidRPr="00684F0B">
        <w:t xml:space="preserve">e expected to work within their teaching </w:t>
      </w:r>
      <w:r w:rsidRPr="00684F0B">
        <w:t xml:space="preserve">program’s </w:t>
      </w:r>
      <w:r w:rsidR="001512A1">
        <w:t>curriculum development process</w:t>
      </w:r>
      <w:r w:rsidR="00671EF2">
        <w:t>es</w:t>
      </w:r>
      <w:r w:rsidR="001512A1">
        <w:t xml:space="preserve"> </w:t>
      </w:r>
      <w:r w:rsidR="00316F04" w:rsidRPr="00684F0B">
        <w:t xml:space="preserve">to collaborate in revising courses, selecting textbooks, etc. </w:t>
      </w:r>
      <w:r w:rsidR="00671EF2">
        <w:t xml:space="preserve">These processes are </w:t>
      </w:r>
      <w:r w:rsidR="001512A1">
        <w:t xml:space="preserve">outlined in the AEI Faculty and Staff Handbook and </w:t>
      </w:r>
      <w:r w:rsidR="00316F04">
        <w:t xml:space="preserve">applicable </w:t>
      </w:r>
      <w:r w:rsidR="00671EF2">
        <w:t xml:space="preserve">College and University </w:t>
      </w:r>
      <w:r w:rsidR="001512A1">
        <w:t>policies</w:t>
      </w:r>
      <w:r w:rsidR="000D1418">
        <w:t>.</w:t>
      </w:r>
      <w:r w:rsidR="001512A1">
        <w:t xml:space="preserve"> </w:t>
      </w:r>
    </w:p>
    <w:p w14:paraId="47B3E372" w14:textId="0B9CFB0C" w:rsidR="001512A1" w:rsidRDefault="001512A1" w:rsidP="00FE5F0B">
      <w:pPr>
        <w:ind w:left="2160"/>
      </w:pPr>
    </w:p>
    <w:p w14:paraId="1C8F11AB" w14:textId="0653C509" w:rsidR="00373950" w:rsidRPr="007F1401" w:rsidRDefault="00373950" w:rsidP="007F1401">
      <w:pPr>
        <w:widowControl w:val="0"/>
        <w:ind w:left="2160"/>
      </w:pPr>
      <w:r w:rsidRPr="007F1401">
        <w:t xml:space="preserve">Career </w:t>
      </w:r>
      <w:r w:rsidR="00CB0ACF">
        <w:t>Faculty</w:t>
      </w:r>
      <w:r w:rsidRPr="007F1401">
        <w:t xml:space="preserve"> are also expected to revise their courses as needed to incorporate advances in </w:t>
      </w:r>
      <w:r>
        <w:t>language skills,</w:t>
      </w:r>
      <w:r w:rsidRPr="007F1401">
        <w:t xml:space="preserve"> </w:t>
      </w:r>
      <w:r>
        <w:t xml:space="preserve">academic </w:t>
      </w:r>
      <w:proofErr w:type="gramStart"/>
      <w:r w:rsidRPr="007F1401">
        <w:t>content</w:t>
      </w:r>
      <w:proofErr w:type="gramEnd"/>
      <w:r w:rsidRPr="007F1401">
        <w:t xml:space="preserve"> and pedagogy, and to ensure that they continue to promote the learning outcomes of the programs of which they are a part. </w:t>
      </w:r>
    </w:p>
    <w:p w14:paraId="2057B9DA" w14:textId="77777777" w:rsidR="00373950" w:rsidRDefault="00373950" w:rsidP="00FE5F0B">
      <w:pPr>
        <w:ind w:left="2160"/>
      </w:pPr>
    </w:p>
    <w:p w14:paraId="243BBDD5" w14:textId="4D8868B8" w:rsidR="000B36C8" w:rsidRPr="00684F0B" w:rsidRDefault="00FE5F0B" w:rsidP="007F1401">
      <w:pPr>
        <w:ind w:left="2160"/>
        <w:rPr>
          <w:color w:val="008000"/>
        </w:rPr>
      </w:pPr>
      <w:r w:rsidRPr="00684F0B">
        <w:t>Individual faculty working in the IEP are encouraged to submit proposals for new elective classes</w:t>
      </w:r>
      <w:r w:rsidR="001512A1">
        <w:t xml:space="preserve"> through established curriculum development processes</w:t>
      </w:r>
      <w:r w:rsidRPr="00684F0B">
        <w:t xml:space="preserve">. </w:t>
      </w:r>
    </w:p>
    <w:p w14:paraId="687E1E9E" w14:textId="77777777" w:rsidR="00C93276" w:rsidRPr="00684F0B" w:rsidRDefault="00C93276" w:rsidP="00D770EC">
      <w:pPr>
        <w:rPr>
          <w:b/>
          <w:color w:val="000000" w:themeColor="text1"/>
        </w:rPr>
      </w:pPr>
    </w:p>
    <w:p w14:paraId="41877797" w14:textId="278BC641" w:rsidR="004B36D4" w:rsidRPr="007F1401" w:rsidRDefault="00D770EC">
      <w:pPr>
        <w:pStyle w:val="ListParagraph"/>
        <w:numPr>
          <w:ilvl w:val="0"/>
          <w:numId w:val="12"/>
        </w:numPr>
        <w:ind w:left="1440"/>
        <w:rPr>
          <w:b/>
          <w:color w:val="000000" w:themeColor="text1"/>
          <w:u w:val="single"/>
        </w:rPr>
      </w:pPr>
      <w:r w:rsidRPr="007F1401">
        <w:rPr>
          <w:b/>
          <w:color w:val="000000" w:themeColor="text1"/>
        </w:rPr>
        <w:t>Service, scholarship, and professional development</w:t>
      </w:r>
    </w:p>
    <w:p w14:paraId="38417BA3" w14:textId="4330F5C1" w:rsidR="00AE291E" w:rsidRDefault="00AE291E" w:rsidP="00AE291E">
      <w:pPr>
        <w:pStyle w:val="ListParagraph"/>
        <w:ind w:left="1440"/>
        <w:rPr>
          <w:b/>
          <w:color w:val="000000" w:themeColor="text1"/>
        </w:rPr>
      </w:pPr>
    </w:p>
    <w:p w14:paraId="11A3FADD" w14:textId="0526294C" w:rsidR="00AE291E" w:rsidRPr="007F1401" w:rsidRDefault="00AE291E" w:rsidP="007F1401">
      <w:pPr>
        <w:ind w:left="1440"/>
        <w:rPr>
          <w:rFonts w:ascii="Calibri" w:eastAsia="Calibri" w:hAnsi="Calibri"/>
        </w:rPr>
      </w:pPr>
      <w:r w:rsidRPr="007F1401">
        <w:rPr>
          <w:rFonts w:ascii="Calibri" w:eastAsia="Calibri" w:hAnsi="Calibri"/>
        </w:rPr>
        <w:t xml:space="preserve">Career </w:t>
      </w:r>
      <w:r w:rsidR="00CB0ACF">
        <w:rPr>
          <w:rFonts w:ascii="Calibri" w:eastAsia="Calibri" w:hAnsi="Calibri"/>
        </w:rPr>
        <w:t>Faculty</w:t>
      </w:r>
      <w:r w:rsidRPr="007F1401">
        <w:rPr>
          <w:rFonts w:ascii="Calibri" w:eastAsia="Calibri" w:hAnsi="Calibri"/>
        </w:rPr>
        <w:t xml:space="preserve"> are expected to devote 10% of their effort (prorated for </w:t>
      </w:r>
      <w:r w:rsidRPr="2D7D516B">
        <w:rPr>
          <w:rFonts w:ascii="Calibri" w:eastAsia="Calibri" w:hAnsi="Calibri"/>
        </w:rPr>
        <w:t>reduced contract</w:t>
      </w:r>
      <w:r w:rsidRPr="007F1401">
        <w:rPr>
          <w:rFonts w:ascii="Calibri" w:eastAsia="Calibri" w:hAnsi="Calibri"/>
        </w:rPr>
        <w:t xml:space="preserve"> appointments) to service, scholarship, and professional development.</w:t>
      </w:r>
    </w:p>
    <w:p w14:paraId="4850C946" w14:textId="77777777" w:rsidR="00AE291E" w:rsidRPr="007F1401" w:rsidRDefault="00AE291E" w:rsidP="007F1401">
      <w:pPr>
        <w:pStyle w:val="ListParagraph"/>
        <w:ind w:left="1440"/>
        <w:rPr>
          <w:b/>
          <w:color w:val="000000" w:themeColor="text1"/>
          <w:u w:val="single"/>
        </w:rPr>
      </w:pPr>
    </w:p>
    <w:p w14:paraId="4CDD9D14" w14:textId="64853286" w:rsidR="00C93276" w:rsidRDefault="00C93276" w:rsidP="007F1401">
      <w:pPr>
        <w:pStyle w:val="BodyText"/>
        <w:spacing w:line="251" w:lineRule="auto"/>
        <w:ind w:left="1440" w:right="113"/>
      </w:pPr>
      <w:r>
        <w:t>Activities</w:t>
      </w:r>
      <w:r>
        <w:rPr>
          <w:spacing w:val="-4"/>
        </w:rPr>
        <w:t xml:space="preserve"> </w:t>
      </w:r>
      <w:r>
        <w:t>which</w:t>
      </w:r>
      <w:r>
        <w:rPr>
          <w:spacing w:val="-3"/>
        </w:rPr>
        <w:t xml:space="preserve"> </w:t>
      </w:r>
      <w:r>
        <w:t>count</w:t>
      </w:r>
      <w:r>
        <w:rPr>
          <w:spacing w:val="-3"/>
        </w:rPr>
        <w:t xml:space="preserve"> </w:t>
      </w:r>
      <w:r>
        <w:t>toward</w:t>
      </w:r>
      <w:r>
        <w:rPr>
          <w:spacing w:val="-4"/>
        </w:rPr>
        <w:t xml:space="preserve"> a faculty’s 10% effort toward service, scholarship, and </w:t>
      </w:r>
      <w:r>
        <w:rPr>
          <w:spacing w:val="-4"/>
        </w:rPr>
        <w:lastRenderedPageBreak/>
        <w:t xml:space="preserve">professional development for the purposes of merit, faculty review, and promotion are </w:t>
      </w:r>
      <w:r>
        <w:t>delineated</w:t>
      </w:r>
      <w:r>
        <w:rPr>
          <w:spacing w:val="-3"/>
        </w:rPr>
        <w:t xml:space="preserve"> </w:t>
      </w:r>
      <w:r>
        <w:t>in</w:t>
      </w:r>
      <w:r>
        <w:rPr>
          <w:spacing w:val="-3"/>
        </w:rPr>
        <w:t xml:space="preserve"> </w:t>
      </w:r>
      <w:r>
        <w:t>the</w:t>
      </w:r>
      <w:r>
        <w:rPr>
          <w:w w:val="99"/>
        </w:rPr>
        <w:t xml:space="preserve"> </w:t>
      </w:r>
      <w:r>
        <w:t>AEI Faculty Review and Promotion Guidelines, which are updated as needed per the Internal Governance Document.</w:t>
      </w:r>
    </w:p>
    <w:p w14:paraId="6CDFEE04" w14:textId="77777777" w:rsidR="00C93276" w:rsidRDefault="00C93276" w:rsidP="007F1401">
      <w:pPr>
        <w:spacing w:before="11"/>
        <w:ind w:left="1440"/>
        <w:rPr>
          <w:rFonts w:ascii="Calibri" w:eastAsia="Calibri" w:hAnsi="Calibri" w:cs="Calibri"/>
          <w:sz w:val="25"/>
          <w:szCs w:val="25"/>
        </w:rPr>
      </w:pPr>
    </w:p>
    <w:p w14:paraId="65BB02EA" w14:textId="77777777" w:rsidR="00C93276" w:rsidRDefault="00C93276" w:rsidP="007F1401">
      <w:pPr>
        <w:pStyle w:val="BodyText"/>
        <w:spacing w:line="251" w:lineRule="auto"/>
        <w:ind w:left="1440" w:right="111" w:hanging="10"/>
      </w:pPr>
      <w:r>
        <w:t>Other</w:t>
      </w:r>
      <w:r>
        <w:rPr>
          <w:spacing w:val="-2"/>
        </w:rPr>
        <w:t xml:space="preserve"> </w:t>
      </w:r>
      <w:r>
        <w:t>activities</w:t>
      </w:r>
      <w:r>
        <w:rPr>
          <w:spacing w:val="-2"/>
        </w:rPr>
        <w:t xml:space="preserve"> </w:t>
      </w:r>
      <w:r>
        <w:t>that</w:t>
      </w:r>
      <w:r>
        <w:rPr>
          <w:spacing w:val="-2"/>
        </w:rPr>
        <w:t xml:space="preserve"> </w:t>
      </w:r>
      <w:r>
        <w:t>are</w:t>
      </w:r>
      <w:r>
        <w:rPr>
          <w:spacing w:val="-2"/>
        </w:rPr>
        <w:t xml:space="preserve"> </w:t>
      </w:r>
      <w:r>
        <w:t>within</w:t>
      </w:r>
      <w:r>
        <w:rPr>
          <w:spacing w:val="-1"/>
        </w:rPr>
        <w:t xml:space="preserve"> </w:t>
      </w:r>
      <w:r>
        <w:t>the</w:t>
      </w:r>
      <w:r>
        <w:rPr>
          <w:spacing w:val="-2"/>
        </w:rPr>
        <w:t xml:space="preserve"> </w:t>
      </w:r>
      <w:r>
        <w:t>normal</w:t>
      </w:r>
      <w:r>
        <w:rPr>
          <w:spacing w:val="-2"/>
        </w:rPr>
        <w:t xml:space="preserve"> </w:t>
      </w:r>
      <w:r>
        <w:t>expectations</w:t>
      </w:r>
      <w:r>
        <w:rPr>
          <w:spacing w:val="-2"/>
        </w:rPr>
        <w:t xml:space="preserve"> </w:t>
      </w:r>
      <w:r>
        <w:t>in</w:t>
      </w:r>
      <w:r>
        <w:rPr>
          <w:spacing w:val="-2"/>
        </w:rPr>
        <w:t xml:space="preserve"> </w:t>
      </w:r>
      <w:r>
        <w:t>AEI</w:t>
      </w:r>
      <w:r>
        <w:rPr>
          <w:spacing w:val="-1"/>
        </w:rPr>
        <w:t xml:space="preserve"> </w:t>
      </w:r>
      <w:r>
        <w:t>so</w:t>
      </w:r>
      <w:r>
        <w:rPr>
          <w:spacing w:val="-2"/>
        </w:rPr>
        <w:t xml:space="preserve"> </w:t>
      </w:r>
      <w:r>
        <w:t>long</w:t>
      </w:r>
      <w:r>
        <w:rPr>
          <w:spacing w:val="-2"/>
        </w:rPr>
        <w:t xml:space="preserve"> </w:t>
      </w:r>
      <w:r>
        <w:t>as</w:t>
      </w:r>
      <w:r>
        <w:rPr>
          <w:spacing w:val="-2"/>
        </w:rPr>
        <w:t xml:space="preserve"> </w:t>
      </w:r>
      <w:r>
        <w:t>they</w:t>
      </w:r>
      <w:r>
        <w:rPr>
          <w:spacing w:val="-2"/>
        </w:rPr>
        <w:t xml:space="preserve"> </w:t>
      </w:r>
      <w:r>
        <w:t>do</w:t>
      </w:r>
      <w:r>
        <w:rPr>
          <w:spacing w:val="-1"/>
        </w:rPr>
        <w:t xml:space="preserve"> </w:t>
      </w:r>
      <w:r>
        <w:t>not</w:t>
      </w:r>
      <w:r>
        <w:rPr>
          <w:w w:val="99"/>
        </w:rPr>
        <w:t xml:space="preserve"> </w:t>
      </w:r>
      <w:r>
        <w:t>exceed</w:t>
      </w:r>
      <w:r>
        <w:rPr>
          <w:spacing w:val="-5"/>
        </w:rPr>
        <w:t xml:space="preserve"> </w:t>
      </w:r>
      <w:r>
        <w:t>10%</w:t>
      </w:r>
      <w:r>
        <w:rPr>
          <w:spacing w:val="-4"/>
        </w:rPr>
        <w:t xml:space="preserve"> </w:t>
      </w:r>
      <w:r>
        <w:t>of</w:t>
      </w:r>
      <w:r>
        <w:rPr>
          <w:spacing w:val="-4"/>
        </w:rPr>
        <w:t xml:space="preserve"> </w:t>
      </w:r>
      <w:r>
        <w:t>faculty</w:t>
      </w:r>
      <w:r>
        <w:rPr>
          <w:spacing w:val="-4"/>
        </w:rPr>
        <w:t xml:space="preserve"> </w:t>
      </w:r>
      <w:r>
        <w:t>member’s</w:t>
      </w:r>
      <w:r>
        <w:rPr>
          <w:spacing w:val="-4"/>
        </w:rPr>
        <w:t xml:space="preserve"> </w:t>
      </w:r>
      <w:r>
        <w:t>workload</w:t>
      </w:r>
      <w:r>
        <w:rPr>
          <w:spacing w:val="-4"/>
        </w:rPr>
        <w:t xml:space="preserve"> </w:t>
      </w:r>
      <w:r>
        <w:t>include:</w:t>
      </w:r>
    </w:p>
    <w:p w14:paraId="526BC7C3" w14:textId="77777777" w:rsidR="00C93276" w:rsidRDefault="00C93276" w:rsidP="00C93276">
      <w:pPr>
        <w:spacing w:before="4"/>
        <w:ind w:left="1440"/>
        <w:rPr>
          <w:rFonts w:ascii="Calibri" w:eastAsia="Calibri" w:hAnsi="Calibri" w:cs="Calibri"/>
          <w:sz w:val="28"/>
          <w:szCs w:val="28"/>
        </w:rPr>
      </w:pPr>
    </w:p>
    <w:p w14:paraId="0BDB6E3E" w14:textId="240B02E8" w:rsidR="00C93276" w:rsidRDefault="00C93276" w:rsidP="007F1401">
      <w:pPr>
        <w:pStyle w:val="BodyText"/>
        <w:numPr>
          <w:ilvl w:val="0"/>
          <w:numId w:val="19"/>
        </w:numPr>
        <w:tabs>
          <w:tab w:val="left" w:pos="2520"/>
        </w:tabs>
      </w:pPr>
      <w:r>
        <w:t xml:space="preserve">participating in standing departmental </w:t>
      </w:r>
      <w:proofErr w:type="gramStart"/>
      <w:r>
        <w:t>committees</w:t>
      </w:r>
      <w:r w:rsidR="166B40B6">
        <w:t>;</w:t>
      </w:r>
      <w:proofErr w:type="gramEnd"/>
    </w:p>
    <w:p w14:paraId="7C20F14C" w14:textId="557B3DE5" w:rsidR="00C93276" w:rsidRDefault="00C93276" w:rsidP="007F1401">
      <w:pPr>
        <w:pStyle w:val="BodyText"/>
        <w:numPr>
          <w:ilvl w:val="0"/>
          <w:numId w:val="19"/>
        </w:numPr>
        <w:tabs>
          <w:tab w:val="left" w:pos="2520"/>
        </w:tabs>
        <w:spacing w:before="14"/>
      </w:pPr>
      <w:r>
        <w:t xml:space="preserve">participating in </w:t>
      </w:r>
      <w:r w:rsidR="00BF492F">
        <w:t>ad hoc</w:t>
      </w:r>
      <w:r>
        <w:t xml:space="preserve"> </w:t>
      </w:r>
      <w:proofErr w:type="gramStart"/>
      <w:r>
        <w:t>committees</w:t>
      </w:r>
      <w:r w:rsidR="2E6DBA45">
        <w:t>;</w:t>
      </w:r>
      <w:proofErr w:type="gramEnd"/>
    </w:p>
    <w:p w14:paraId="16D5FA55" w14:textId="1997DA7C" w:rsidR="00C93276" w:rsidRDefault="00C93276" w:rsidP="007F1401">
      <w:pPr>
        <w:pStyle w:val="BodyText"/>
        <w:numPr>
          <w:ilvl w:val="0"/>
          <w:numId w:val="19"/>
        </w:numPr>
        <w:tabs>
          <w:tab w:val="left" w:pos="2520"/>
        </w:tabs>
        <w:spacing w:before="19" w:line="251" w:lineRule="auto"/>
        <w:ind w:right="279"/>
      </w:pPr>
      <w:r>
        <w:t>participating in University Committees (</w:t>
      </w:r>
      <w:proofErr w:type="gramStart"/>
      <w:r>
        <w:t>e.g.</w:t>
      </w:r>
      <w:proofErr w:type="gramEnd"/>
      <w:r>
        <w:t xml:space="preserve"> through the University Senate)</w:t>
      </w:r>
      <w:r w:rsidR="103A4268">
        <w:t>;</w:t>
      </w:r>
    </w:p>
    <w:p w14:paraId="29F13CF6" w14:textId="75F825BA" w:rsidR="00C93276" w:rsidRDefault="00C93276" w:rsidP="007F1401">
      <w:pPr>
        <w:pStyle w:val="BodyText"/>
        <w:numPr>
          <w:ilvl w:val="0"/>
          <w:numId w:val="19"/>
        </w:numPr>
        <w:tabs>
          <w:tab w:val="left" w:pos="2520"/>
        </w:tabs>
        <w:spacing w:before="33"/>
      </w:pPr>
      <w:r>
        <w:t xml:space="preserve">service to the </w:t>
      </w:r>
      <w:proofErr w:type="gramStart"/>
      <w:r>
        <w:t>profession</w:t>
      </w:r>
      <w:r w:rsidR="79E09DB6">
        <w:t>;</w:t>
      </w:r>
      <w:proofErr w:type="gramEnd"/>
    </w:p>
    <w:p w14:paraId="26BC780B" w14:textId="4BCC3E7D" w:rsidR="00C93276" w:rsidRDefault="00C93276" w:rsidP="007F1401">
      <w:pPr>
        <w:pStyle w:val="BodyText"/>
        <w:numPr>
          <w:ilvl w:val="0"/>
          <w:numId w:val="19"/>
        </w:numPr>
        <w:tabs>
          <w:tab w:val="left" w:pos="2520"/>
        </w:tabs>
        <w:spacing w:before="19"/>
      </w:pPr>
      <w:r>
        <w:t xml:space="preserve">attendance at professional </w:t>
      </w:r>
      <w:proofErr w:type="gramStart"/>
      <w:r>
        <w:t>conferences</w:t>
      </w:r>
      <w:r w:rsidR="4A31E68B">
        <w:t>;</w:t>
      </w:r>
      <w:proofErr w:type="gramEnd"/>
    </w:p>
    <w:p w14:paraId="27560D32" w14:textId="75862D3B" w:rsidR="00C93276" w:rsidRDefault="00C93276" w:rsidP="007F1401">
      <w:pPr>
        <w:pStyle w:val="BodyText"/>
        <w:numPr>
          <w:ilvl w:val="0"/>
          <w:numId w:val="19"/>
        </w:numPr>
        <w:tabs>
          <w:tab w:val="left" w:pos="2520"/>
        </w:tabs>
        <w:spacing w:before="14"/>
      </w:pPr>
      <w:r>
        <w:t>attendance at workshops (including in-house workshops)</w:t>
      </w:r>
      <w:r w:rsidR="3B662CB0">
        <w:t>;</w:t>
      </w:r>
      <w:r w:rsidR="00274AC5">
        <w:t xml:space="preserve"> and/or</w:t>
      </w:r>
    </w:p>
    <w:p w14:paraId="2B4510C8" w14:textId="735C83AB" w:rsidR="00C93276" w:rsidRDefault="00C93276" w:rsidP="007F1401">
      <w:pPr>
        <w:pStyle w:val="BodyText"/>
        <w:numPr>
          <w:ilvl w:val="0"/>
          <w:numId w:val="19"/>
        </w:numPr>
        <w:tabs>
          <w:tab w:val="left" w:pos="2520"/>
        </w:tabs>
        <w:spacing w:before="19"/>
      </w:pPr>
      <w:r>
        <w:t>technical</w:t>
      </w:r>
      <w:r>
        <w:rPr>
          <w:spacing w:val="-4"/>
        </w:rPr>
        <w:t xml:space="preserve"> </w:t>
      </w:r>
      <w:r>
        <w:t>or</w:t>
      </w:r>
      <w:r>
        <w:rPr>
          <w:spacing w:val="-5"/>
        </w:rPr>
        <w:t xml:space="preserve"> </w:t>
      </w:r>
      <w:r>
        <w:t>methodological</w:t>
      </w:r>
      <w:r>
        <w:rPr>
          <w:spacing w:val="-4"/>
        </w:rPr>
        <w:t xml:space="preserve"> </w:t>
      </w:r>
      <w:r>
        <w:t>training</w:t>
      </w:r>
      <w:r w:rsidR="00274AC5">
        <w:t>.</w:t>
      </w:r>
    </w:p>
    <w:p w14:paraId="368865FD" w14:textId="77777777" w:rsidR="00C93276" w:rsidRDefault="00C93276" w:rsidP="00C93276">
      <w:pPr>
        <w:spacing w:before="6"/>
        <w:ind w:left="1440"/>
        <w:rPr>
          <w:rFonts w:ascii="Calibri" w:eastAsia="Calibri" w:hAnsi="Calibri" w:cs="Calibri"/>
          <w:sz w:val="27"/>
          <w:szCs w:val="27"/>
        </w:rPr>
      </w:pPr>
    </w:p>
    <w:p w14:paraId="29BD6803" w14:textId="4C892061" w:rsidR="00C93276" w:rsidRDefault="00C93276" w:rsidP="007F1401">
      <w:pPr>
        <w:pStyle w:val="BodyText"/>
        <w:spacing w:before="58" w:line="251" w:lineRule="auto"/>
        <w:ind w:left="1440" w:right="119"/>
      </w:pPr>
      <w:r w:rsidRPr="00B95EBC">
        <w:t>Faculty</w:t>
      </w:r>
      <w:r w:rsidRPr="00B95EBC">
        <w:rPr>
          <w:spacing w:val="-3"/>
        </w:rPr>
        <w:t xml:space="preserve"> </w:t>
      </w:r>
      <w:r w:rsidRPr="004C1909">
        <w:t>engaging</w:t>
      </w:r>
      <w:r w:rsidRPr="004C1909">
        <w:rPr>
          <w:spacing w:val="-3"/>
        </w:rPr>
        <w:t xml:space="preserve"> </w:t>
      </w:r>
      <w:r w:rsidRPr="004C1909">
        <w:t>in</w:t>
      </w:r>
      <w:r w:rsidRPr="004C1909">
        <w:rPr>
          <w:spacing w:val="-2"/>
        </w:rPr>
        <w:t xml:space="preserve"> </w:t>
      </w:r>
      <w:r w:rsidRPr="004C1909">
        <w:t>activities</w:t>
      </w:r>
      <w:r w:rsidRPr="00B95EBC">
        <w:rPr>
          <w:spacing w:val="-3"/>
        </w:rPr>
        <w:t xml:space="preserve"> </w:t>
      </w:r>
      <w:proofErr w:type="gramStart"/>
      <w:r w:rsidRPr="00B95EBC">
        <w:t>in</w:t>
      </w:r>
      <w:r w:rsidRPr="00B95EBC">
        <w:rPr>
          <w:spacing w:val="-2"/>
        </w:rPr>
        <w:t xml:space="preserve"> </w:t>
      </w:r>
      <w:r w:rsidRPr="00B95EBC">
        <w:t>excess</w:t>
      </w:r>
      <w:r w:rsidRPr="00B95EBC">
        <w:rPr>
          <w:spacing w:val="-3"/>
        </w:rPr>
        <w:t xml:space="preserve"> </w:t>
      </w:r>
      <w:r w:rsidRPr="00B95EBC">
        <w:t>of</w:t>
      </w:r>
      <w:proofErr w:type="gramEnd"/>
      <w:r w:rsidRPr="00B95EBC">
        <w:rPr>
          <w:spacing w:val="-3"/>
        </w:rPr>
        <w:t xml:space="preserve"> </w:t>
      </w:r>
      <w:r w:rsidRPr="00B95EBC">
        <w:t>10%</w:t>
      </w:r>
      <w:r w:rsidRPr="00B95EBC">
        <w:rPr>
          <w:spacing w:val="-2"/>
        </w:rPr>
        <w:t xml:space="preserve"> </w:t>
      </w:r>
      <w:r w:rsidRPr="00B95EBC">
        <w:t>of</w:t>
      </w:r>
      <w:r w:rsidRPr="00B95EBC">
        <w:rPr>
          <w:spacing w:val="-3"/>
        </w:rPr>
        <w:t xml:space="preserve"> </w:t>
      </w:r>
      <w:r w:rsidRPr="00B95EBC">
        <w:t>the</w:t>
      </w:r>
      <w:r w:rsidRPr="00B95EBC">
        <w:rPr>
          <w:spacing w:val="-2"/>
        </w:rPr>
        <w:t xml:space="preserve"> </w:t>
      </w:r>
      <w:r w:rsidRPr="00B95EBC">
        <w:t>workload</w:t>
      </w:r>
      <w:r w:rsidRPr="00B95EBC">
        <w:rPr>
          <w:spacing w:val="-3"/>
        </w:rPr>
        <w:t xml:space="preserve"> </w:t>
      </w:r>
      <w:r w:rsidRPr="00B95EBC">
        <w:t>may</w:t>
      </w:r>
      <w:r w:rsidRPr="00B95EBC">
        <w:rPr>
          <w:spacing w:val="-3"/>
        </w:rPr>
        <w:t xml:space="preserve"> </w:t>
      </w:r>
      <w:r w:rsidRPr="00B95EBC">
        <w:t>be</w:t>
      </w:r>
      <w:r w:rsidRPr="00B95EBC">
        <w:rPr>
          <w:spacing w:val="-2"/>
        </w:rPr>
        <w:t xml:space="preserve"> </w:t>
      </w:r>
      <w:r w:rsidRPr="00B95EBC">
        <w:t>eligible</w:t>
      </w:r>
      <w:r w:rsidRPr="00B95EBC">
        <w:rPr>
          <w:spacing w:val="-3"/>
        </w:rPr>
        <w:t xml:space="preserve"> </w:t>
      </w:r>
      <w:r w:rsidRPr="00B95EBC">
        <w:t>for</w:t>
      </w:r>
      <w:r>
        <w:t xml:space="preserve"> </w:t>
      </w:r>
      <w:r w:rsidRPr="00B95EBC">
        <w:t>course</w:t>
      </w:r>
      <w:r w:rsidRPr="00B95EBC">
        <w:rPr>
          <w:spacing w:val="-3"/>
        </w:rPr>
        <w:t xml:space="preserve"> </w:t>
      </w:r>
      <w:r w:rsidRPr="00B95EBC">
        <w:t>release</w:t>
      </w:r>
      <w:r w:rsidRPr="00B95EBC">
        <w:rPr>
          <w:spacing w:val="-3"/>
        </w:rPr>
        <w:t xml:space="preserve"> </w:t>
      </w:r>
      <w:r w:rsidRPr="00B95EBC">
        <w:t>and/or</w:t>
      </w:r>
      <w:r w:rsidRPr="00B95EBC">
        <w:rPr>
          <w:spacing w:val="-3"/>
        </w:rPr>
        <w:t xml:space="preserve"> </w:t>
      </w:r>
      <w:r w:rsidRPr="00B95EBC">
        <w:t>stipend</w:t>
      </w:r>
      <w:r w:rsidR="00CB0ACF">
        <w:t xml:space="preserve"> if arranged in advance with the Executive Director or designee</w:t>
      </w:r>
      <w:r>
        <w:t>;</w:t>
      </w:r>
      <w:r>
        <w:rPr>
          <w:spacing w:val="-3"/>
        </w:rPr>
        <w:t xml:space="preserve"> </w:t>
      </w:r>
      <w:r>
        <w:t>eligibility</w:t>
      </w:r>
      <w:r>
        <w:rPr>
          <w:spacing w:val="-3"/>
        </w:rPr>
        <w:t xml:space="preserve"> </w:t>
      </w:r>
      <w:r>
        <w:t>and</w:t>
      </w:r>
      <w:r>
        <w:rPr>
          <w:spacing w:val="-3"/>
        </w:rPr>
        <w:t xml:space="preserve"> </w:t>
      </w:r>
      <w:r>
        <w:t>compensation</w:t>
      </w:r>
      <w:r>
        <w:rPr>
          <w:spacing w:val="-3"/>
        </w:rPr>
        <w:t xml:space="preserve"> </w:t>
      </w:r>
      <w:r>
        <w:t>will</w:t>
      </w:r>
      <w:r>
        <w:rPr>
          <w:spacing w:val="-3"/>
        </w:rPr>
        <w:t xml:space="preserve"> </w:t>
      </w:r>
      <w:r>
        <w:t>be</w:t>
      </w:r>
      <w:r>
        <w:rPr>
          <w:spacing w:val="-3"/>
        </w:rPr>
        <w:t xml:space="preserve"> </w:t>
      </w:r>
      <w:r>
        <w:t>determined</w:t>
      </w:r>
      <w:r>
        <w:rPr>
          <w:spacing w:val="-3"/>
        </w:rPr>
        <w:t xml:space="preserve"> </w:t>
      </w:r>
      <w:r>
        <w:t>by</w:t>
      </w:r>
      <w:r>
        <w:rPr>
          <w:w w:val="99"/>
        </w:rPr>
        <w:t xml:space="preserve"> </w:t>
      </w:r>
      <w:r>
        <w:t>the</w:t>
      </w:r>
      <w:r>
        <w:rPr>
          <w:spacing w:val="-4"/>
        </w:rPr>
        <w:t xml:space="preserve"> </w:t>
      </w:r>
      <w:r>
        <w:t>Executive</w:t>
      </w:r>
      <w:r>
        <w:rPr>
          <w:spacing w:val="-3"/>
        </w:rPr>
        <w:t xml:space="preserve"> </w:t>
      </w:r>
      <w:r>
        <w:t>Director or their designee.</w:t>
      </w:r>
    </w:p>
    <w:p w14:paraId="3F748881" w14:textId="77777777" w:rsidR="00775975" w:rsidRPr="00684F0B" w:rsidRDefault="00775975" w:rsidP="00CB7BC1">
      <w:pPr>
        <w:rPr>
          <w:color w:val="C0504D" w:themeColor="accent2"/>
          <w:u w:val="single"/>
        </w:rPr>
      </w:pPr>
    </w:p>
    <w:p w14:paraId="0C3E0799" w14:textId="77777777" w:rsidR="00D770EC" w:rsidRPr="00684F0B" w:rsidRDefault="00D770EC" w:rsidP="00D770EC">
      <w:pPr>
        <w:rPr>
          <w:b/>
          <w:color w:val="000000" w:themeColor="text1"/>
          <w:sz w:val="12"/>
        </w:rPr>
      </w:pPr>
      <w:r w:rsidRPr="00684F0B">
        <w:rPr>
          <w:b/>
          <w:color w:val="000000" w:themeColor="text1"/>
        </w:rPr>
        <w:tab/>
      </w:r>
    </w:p>
    <w:p w14:paraId="42B62A7C" w14:textId="6A74C682" w:rsidR="00D770EC" w:rsidRPr="00684F0B" w:rsidRDefault="00D770EC" w:rsidP="007F1401">
      <w:pPr>
        <w:pStyle w:val="ListParagraph"/>
        <w:numPr>
          <w:ilvl w:val="0"/>
          <w:numId w:val="15"/>
        </w:numPr>
        <w:ind w:left="1440"/>
        <w:rPr>
          <w:b/>
          <w:color w:val="000000" w:themeColor="text1"/>
        </w:rPr>
      </w:pPr>
      <w:r w:rsidRPr="00684F0B">
        <w:rPr>
          <w:b/>
          <w:color w:val="000000" w:themeColor="text1"/>
        </w:rPr>
        <w:t>Advising and student contact</w:t>
      </w:r>
    </w:p>
    <w:p w14:paraId="6188AFD6" w14:textId="77777777" w:rsidR="00D770EC" w:rsidRPr="00684F0B" w:rsidRDefault="00D770EC" w:rsidP="00D770EC">
      <w:pPr>
        <w:keepNext/>
        <w:rPr>
          <w:b/>
          <w:color w:val="000000" w:themeColor="text1"/>
          <w:sz w:val="22"/>
        </w:rPr>
      </w:pPr>
    </w:p>
    <w:p w14:paraId="3499C324" w14:textId="1CF0465D" w:rsidR="001A251F" w:rsidRPr="00684F0B" w:rsidRDefault="00FB767D" w:rsidP="00C93276">
      <w:pPr>
        <w:ind w:left="1440"/>
        <w:rPr>
          <w:color w:val="000000" w:themeColor="text1"/>
        </w:rPr>
      </w:pPr>
      <w:r w:rsidRPr="00684F0B">
        <w:rPr>
          <w:color w:val="000000" w:themeColor="text1"/>
        </w:rPr>
        <w:t xml:space="preserve">Routine advising of, and contact with, students taking their courses is considered a normal part of faculty members’ teaching activities as described above in section B. </w:t>
      </w:r>
      <w:r w:rsidR="00AE291E">
        <w:rPr>
          <w:color w:val="000000" w:themeColor="text1"/>
        </w:rPr>
        <w:t xml:space="preserve">Small, voluntary, and/or irregular </w:t>
      </w:r>
      <w:r w:rsidR="008B024A">
        <w:rPr>
          <w:color w:val="000000" w:themeColor="text1"/>
        </w:rPr>
        <w:t>a</w:t>
      </w:r>
      <w:r w:rsidRPr="00684F0B">
        <w:rPr>
          <w:color w:val="000000" w:themeColor="text1"/>
        </w:rPr>
        <w:t>dvising assignments (such as occasional supervision of LTS undergraduate project or internship supervision) count toward service expectations in section</w:t>
      </w:r>
      <w:r w:rsidR="00647237">
        <w:rPr>
          <w:color w:val="000000" w:themeColor="text1"/>
        </w:rPr>
        <w:t xml:space="preserve"> C</w:t>
      </w:r>
      <w:r w:rsidRPr="00684F0B">
        <w:rPr>
          <w:color w:val="000000" w:themeColor="text1"/>
        </w:rPr>
        <w:t xml:space="preserve">. </w:t>
      </w:r>
    </w:p>
    <w:p w14:paraId="72572554" w14:textId="77777777" w:rsidR="001A251F" w:rsidRPr="00684F0B" w:rsidRDefault="001A251F" w:rsidP="007F1401">
      <w:pPr>
        <w:ind w:left="1440"/>
        <w:rPr>
          <w:color w:val="000000" w:themeColor="text1"/>
          <w:sz w:val="22"/>
        </w:rPr>
      </w:pPr>
    </w:p>
    <w:p w14:paraId="7834F162" w14:textId="588D511A" w:rsidR="001A1484" w:rsidRPr="00684F0B" w:rsidRDefault="00307089" w:rsidP="007F1401">
      <w:pPr>
        <w:ind w:left="1440"/>
      </w:pPr>
      <w:r w:rsidRPr="00684F0B">
        <w:t>T</w:t>
      </w:r>
      <w:r w:rsidR="001A1484" w:rsidRPr="00684F0B">
        <w:t xml:space="preserve">he IEP and AEIS programs have </w:t>
      </w:r>
      <w:r w:rsidR="00AE291E">
        <w:t xml:space="preserve">AEI-specific </w:t>
      </w:r>
      <w:r w:rsidR="001A1484" w:rsidRPr="00684F0B">
        <w:t xml:space="preserve">Academic Advising units </w:t>
      </w:r>
      <w:r w:rsidR="008B024A">
        <w:t>staffed by AEI</w:t>
      </w:r>
      <w:r w:rsidR="001A1484" w:rsidRPr="00684F0B">
        <w:t xml:space="preserve"> faculty who are given FTE </w:t>
      </w:r>
      <w:r w:rsidR="001F29D2">
        <w:t>dedicated</w:t>
      </w:r>
      <w:r w:rsidR="001F29D2" w:rsidRPr="00684F0B">
        <w:t xml:space="preserve"> </w:t>
      </w:r>
      <w:r w:rsidR="001A1484" w:rsidRPr="00684F0B">
        <w:t xml:space="preserve">for advising. See also </w:t>
      </w:r>
      <w:r w:rsidR="00111C8E">
        <w:t xml:space="preserve">the section below on </w:t>
      </w:r>
      <w:r w:rsidR="001A1484" w:rsidRPr="00684F0B">
        <w:t>major administrative work.</w:t>
      </w:r>
    </w:p>
    <w:p w14:paraId="6AA5DDA5" w14:textId="77777777" w:rsidR="001A1484" w:rsidRPr="00684F0B" w:rsidRDefault="001A1484" w:rsidP="007F1401">
      <w:pPr>
        <w:ind w:left="1440"/>
        <w:rPr>
          <w:color w:val="4F81BD" w:themeColor="accent1"/>
          <w:sz w:val="12"/>
        </w:rPr>
      </w:pPr>
    </w:p>
    <w:p w14:paraId="392C45DB" w14:textId="77777777" w:rsidR="00D770EC" w:rsidRPr="00684F0B" w:rsidRDefault="00D770EC" w:rsidP="00D770EC">
      <w:pPr>
        <w:rPr>
          <w:color w:val="000000" w:themeColor="text1"/>
        </w:rPr>
      </w:pPr>
    </w:p>
    <w:p w14:paraId="28884B5A" w14:textId="040F8C49" w:rsidR="00D47A06" w:rsidRDefault="00D770EC" w:rsidP="00D47A06">
      <w:pPr>
        <w:pStyle w:val="BodyText"/>
        <w:widowControl/>
        <w:numPr>
          <w:ilvl w:val="0"/>
          <w:numId w:val="4"/>
        </w:numPr>
        <w:ind w:left="1440" w:hanging="720"/>
        <w:contextualSpacing/>
        <w:rPr>
          <w:b/>
          <w:color w:val="000000" w:themeColor="text1"/>
        </w:rPr>
      </w:pPr>
      <w:r w:rsidRPr="00684F0B">
        <w:rPr>
          <w:b/>
          <w:color w:val="000000" w:themeColor="text1"/>
        </w:rPr>
        <w:t>Major administrative work</w:t>
      </w:r>
    </w:p>
    <w:p w14:paraId="1D2F824E" w14:textId="7EF9BD6E" w:rsidR="00D47A06" w:rsidRPr="00684F0B" w:rsidRDefault="00D47A06" w:rsidP="007F1401">
      <w:pPr>
        <w:pStyle w:val="ListParagraph"/>
        <w:ind w:left="1440"/>
        <w:rPr>
          <w:b/>
          <w:color w:val="000000" w:themeColor="text1"/>
        </w:rPr>
      </w:pPr>
    </w:p>
    <w:p w14:paraId="28623EF6" w14:textId="5D80B6FA" w:rsidR="00D47A06" w:rsidRDefault="00AE291E" w:rsidP="00D47A06">
      <w:pPr>
        <w:pStyle w:val="BodyText"/>
        <w:widowControl/>
        <w:ind w:left="1440"/>
        <w:contextualSpacing/>
      </w:pPr>
      <w:r>
        <w:t>M</w:t>
      </w:r>
      <w:r w:rsidR="00D47A06">
        <w:t>ajor</w:t>
      </w:r>
      <w:r w:rsidR="00D47A06">
        <w:rPr>
          <w:spacing w:val="-3"/>
        </w:rPr>
        <w:t xml:space="preserve"> </w:t>
      </w:r>
      <w:r w:rsidR="00D47A06">
        <w:t>administrative</w:t>
      </w:r>
      <w:r w:rsidR="00D47A06">
        <w:rPr>
          <w:spacing w:val="-3"/>
        </w:rPr>
        <w:t xml:space="preserve"> </w:t>
      </w:r>
      <w:r w:rsidR="00D47A06">
        <w:t>work</w:t>
      </w:r>
      <w:r w:rsidR="00D47A06">
        <w:rPr>
          <w:spacing w:val="-3"/>
        </w:rPr>
        <w:t xml:space="preserve"> in the AEI may include directing programs and coordinating major academic services for students. </w:t>
      </w:r>
      <w:r w:rsidR="00D47A06">
        <w:t>Such</w:t>
      </w:r>
      <w:r w:rsidR="00D47A06">
        <w:rPr>
          <w:spacing w:val="-2"/>
        </w:rPr>
        <w:t xml:space="preserve"> </w:t>
      </w:r>
      <w:r w:rsidR="00D47A06">
        <w:t>work</w:t>
      </w:r>
      <w:r w:rsidR="00D47A06">
        <w:rPr>
          <w:spacing w:val="-1"/>
        </w:rPr>
        <w:t xml:space="preserve"> </w:t>
      </w:r>
      <w:r w:rsidR="00D47A06">
        <w:t>is</w:t>
      </w:r>
      <w:r w:rsidR="00D47A06">
        <w:rPr>
          <w:spacing w:val="-2"/>
        </w:rPr>
        <w:t xml:space="preserve"> </w:t>
      </w:r>
      <w:r w:rsidR="00D47A06">
        <w:t>distinguished</w:t>
      </w:r>
      <w:r w:rsidR="00D47A06">
        <w:rPr>
          <w:spacing w:val="-2"/>
        </w:rPr>
        <w:t xml:space="preserve"> </w:t>
      </w:r>
      <w:r w:rsidR="00D47A06">
        <w:t>from</w:t>
      </w:r>
      <w:r w:rsidR="00D47A06">
        <w:rPr>
          <w:spacing w:val="-1"/>
        </w:rPr>
        <w:t xml:space="preserve"> </w:t>
      </w:r>
      <w:r w:rsidR="00D47A06">
        <w:t>other</w:t>
      </w:r>
      <w:r w:rsidR="00D47A06">
        <w:rPr>
          <w:spacing w:val="-2"/>
        </w:rPr>
        <w:t xml:space="preserve"> normal service </w:t>
      </w:r>
      <w:r w:rsidR="00D47A06">
        <w:t>tasks</w:t>
      </w:r>
      <w:r w:rsidR="00D47A06">
        <w:rPr>
          <w:spacing w:val="-1"/>
        </w:rPr>
        <w:t xml:space="preserve"> </w:t>
      </w:r>
      <w:r w:rsidR="00D47A06">
        <w:t>by</w:t>
      </w:r>
      <w:r w:rsidR="00D47A06">
        <w:rPr>
          <w:spacing w:val="-3"/>
        </w:rPr>
        <w:t xml:space="preserve"> </w:t>
      </w:r>
      <w:r w:rsidR="00D47A06">
        <w:t>its</w:t>
      </w:r>
      <w:r w:rsidR="00D47A06">
        <w:rPr>
          <w:spacing w:val="-1"/>
        </w:rPr>
        <w:t xml:space="preserve"> </w:t>
      </w:r>
      <w:r w:rsidR="00D47A06">
        <w:t>duration</w:t>
      </w:r>
      <w:r w:rsidR="00D47A06">
        <w:rPr>
          <w:spacing w:val="-2"/>
        </w:rPr>
        <w:t xml:space="preserve"> </w:t>
      </w:r>
      <w:r w:rsidR="00D47A06">
        <w:t>and</w:t>
      </w:r>
      <w:r w:rsidR="00D47A06">
        <w:rPr>
          <w:spacing w:val="-1"/>
        </w:rPr>
        <w:t xml:space="preserve"> </w:t>
      </w:r>
      <w:r w:rsidR="00D47A06">
        <w:t>level</w:t>
      </w:r>
      <w:r w:rsidR="00D47A06">
        <w:rPr>
          <w:spacing w:val="-2"/>
        </w:rPr>
        <w:t xml:space="preserve"> </w:t>
      </w:r>
      <w:r w:rsidR="00D47A06">
        <w:t>of</w:t>
      </w:r>
      <w:r w:rsidR="00D47A06">
        <w:rPr>
          <w:spacing w:val="-1"/>
        </w:rPr>
        <w:t xml:space="preserve"> </w:t>
      </w:r>
      <w:r w:rsidR="00D47A06">
        <w:t>responsibility. FTE</w:t>
      </w:r>
      <w:r w:rsidR="00D47A06">
        <w:rPr>
          <w:spacing w:val="-3"/>
        </w:rPr>
        <w:t xml:space="preserve"> </w:t>
      </w:r>
      <w:r w:rsidR="00D47A06">
        <w:t>allocations</w:t>
      </w:r>
      <w:r w:rsidR="00D47A06">
        <w:rPr>
          <w:spacing w:val="-2"/>
        </w:rPr>
        <w:t xml:space="preserve"> </w:t>
      </w:r>
      <w:r w:rsidR="00D47A06">
        <w:t>and</w:t>
      </w:r>
      <w:r w:rsidR="00D47A06">
        <w:rPr>
          <w:spacing w:val="-2"/>
        </w:rPr>
        <w:t xml:space="preserve"> </w:t>
      </w:r>
      <w:r w:rsidR="00D47A06">
        <w:t>teaching</w:t>
      </w:r>
      <w:r w:rsidR="00D47A06">
        <w:rPr>
          <w:spacing w:val="-2"/>
        </w:rPr>
        <w:t xml:space="preserve"> </w:t>
      </w:r>
      <w:r w:rsidR="00D47A06">
        <w:t>releases</w:t>
      </w:r>
      <w:r w:rsidR="00D47A06">
        <w:rPr>
          <w:spacing w:val="-2"/>
        </w:rPr>
        <w:t xml:space="preserve"> </w:t>
      </w:r>
      <w:r w:rsidR="00D47A06">
        <w:t>for</w:t>
      </w:r>
      <w:r w:rsidR="00D47A06">
        <w:rPr>
          <w:spacing w:val="-2"/>
        </w:rPr>
        <w:t xml:space="preserve"> </w:t>
      </w:r>
      <w:r w:rsidR="00D47A06">
        <w:t>such</w:t>
      </w:r>
      <w:r w:rsidR="00D47A06">
        <w:rPr>
          <w:spacing w:val="-3"/>
        </w:rPr>
        <w:t xml:space="preserve"> </w:t>
      </w:r>
      <w:r w:rsidR="00D47A06">
        <w:t>work</w:t>
      </w:r>
      <w:r w:rsidR="00D47A06">
        <w:rPr>
          <w:spacing w:val="-2"/>
        </w:rPr>
        <w:t xml:space="preserve"> </w:t>
      </w:r>
      <w:r w:rsidR="00D47A06">
        <w:t>are</w:t>
      </w:r>
      <w:r w:rsidR="00D47A06">
        <w:rPr>
          <w:spacing w:val="-2"/>
        </w:rPr>
        <w:t xml:space="preserve"> </w:t>
      </w:r>
      <w:r w:rsidR="00D47A06">
        <w:t>set</w:t>
      </w:r>
      <w:r w:rsidR="00D47A06">
        <w:rPr>
          <w:spacing w:val="-2"/>
        </w:rPr>
        <w:t xml:space="preserve"> </w:t>
      </w:r>
      <w:r w:rsidR="00D47A06">
        <w:t>by</w:t>
      </w:r>
      <w:r w:rsidR="00D47A06">
        <w:rPr>
          <w:spacing w:val="-2"/>
        </w:rPr>
        <w:t xml:space="preserve"> the </w:t>
      </w:r>
      <w:r w:rsidR="00D47A06">
        <w:t>Executive</w:t>
      </w:r>
      <w:r w:rsidR="00D47A06">
        <w:rPr>
          <w:spacing w:val="-2"/>
        </w:rPr>
        <w:t xml:space="preserve"> </w:t>
      </w:r>
      <w:r w:rsidR="00D47A06">
        <w:t>Director or their designee.</w:t>
      </w:r>
      <w:r w:rsidR="00D47A06">
        <w:rPr>
          <w:spacing w:val="-2"/>
        </w:rPr>
        <w:t xml:space="preserve"> </w:t>
      </w:r>
      <w:r w:rsidR="00D47A06">
        <w:t>In</w:t>
      </w:r>
      <w:r w:rsidR="00D47A06">
        <w:rPr>
          <w:spacing w:val="-2"/>
        </w:rPr>
        <w:t xml:space="preserve"> </w:t>
      </w:r>
      <w:r w:rsidR="00D47A06">
        <w:t>addition,</w:t>
      </w:r>
      <w:r w:rsidR="00D47A06">
        <w:rPr>
          <w:spacing w:val="-2"/>
        </w:rPr>
        <w:t xml:space="preserve"> </w:t>
      </w:r>
      <w:r w:rsidR="00D47A06">
        <w:t>additional compensation</w:t>
      </w:r>
      <w:r w:rsidR="00D47A06">
        <w:rPr>
          <w:spacing w:val="-2"/>
        </w:rPr>
        <w:t xml:space="preserve"> </w:t>
      </w:r>
      <w:r w:rsidR="00D47A06">
        <w:t>may be</w:t>
      </w:r>
      <w:r w:rsidR="00D47A06">
        <w:rPr>
          <w:spacing w:val="-2"/>
        </w:rPr>
        <w:t xml:space="preserve"> </w:t>
      </w:r>
      <w:r w:rsidR="00D47A06">
        <w:t>appropriate</w:t>
      </w:r>
      <w:r w:rsidR="00D47A06">
        <w:rPr>
          <w:w w:val="99"/>
        </w:rPr>
        <w:t xml:space="preserve"> </w:t>
      </w:r>
      <w:r w:rsidR="00D47A06">
        <w:t>for</w:t>
      </w:r>
      <w:r w:rsidR="00D47A06">
        <w:rPr>
          <w:spacing w:val="-2"/>
        </w:rPr>
        <w:t xml:space="preserve"> </w:t>
      </w:r>
      <w:r w:rsidR="00D47A06">
        <w:lastRenderedPageBreak/>
        <w:t>positions</w:t>
      </w:r>
      <w:r w:rsidR="00D47A06">
        <w:rPr>
          <w:spacing w:val="-1"/>
        </w:rPr>
        <w:t xml:space="preserve"> </w:t>
      </w:r>
      <w:r w:rsidR="00D47A06">
        <w:t>in</w:t>
      </w:r>
      <w:r w:rsidR="00D47A06">
        <w:rPr>
          <w:spacing w:val="-1"/>
        </w:rPr>
        <w:t xml:space="preserve"> </w:t>
      </w:r>
      <w:r w:rsidR="00D47A06">
        <w:t>which</w:t>
      </w:r>
      <w:r w:rsidR="00D47A06">
        <w:rPr>
          <w:spacing w:val="-2"/>
        </w:rPr>
        <w:t xml:space="preserve"> </w:t>
      </w:r>
      <w:r w:rsidR="00D47A06">
        <w:t>the</w:t>
      </w:r>
      <w:r w:rsidR="00D47A06">
        <w:rPr>
          <w:spacing w:val="-1"/>
        </w:rPr>
        <w:t xml:space="preserve"> </w:t>
      </w:r>
      <w:r w:rsidR="00D47A06">
        <w:t>level</w:t>
      </w:r>
      <w:r w:rsidR="00D47A06">
        <w:rPr>
          <w:spacing w:val="-1"/>
        </w:rPr>
        <w:t xml:space="preserve"> </w:t>
      </w:r>
      <w:r w:rsidR="00D47A06">
        <w:t>of</w:t>
      </w:r>
      <w:r w:rsidR="00D47A06">
        <w:rPr>
          <w:spacing w:val="-2"/>
        </w:rPr>
        <w:t xml:space="preserve"> </w:t>
      </w:r>
      <w:r w:rsidR="00D47A06">
        <w:rPr>
          <w:spacing w:val="-1"/>
        </w:rPr>
        <w:t xml:space="preserve">responsibility </w:t>
      </w:r>
      <w:r w:rsidR="00D47A06">
        <w:t>and</w:t>
      </w:r>
      <w:r w:rsidR="00D47A06">
        <w:rPr>
          <w:spacing w:val="-1"/>
        </w:rPr>
        <w:t xml:space="preserve"> </w:t>
      </w:r>
      <w:r w:rsidR="00D47A06">
        <w:t>autonomy</w:t>
      </w:r>
      <w:r w:rsidR="00D47A06">
        <w:rPr>
          <w:spacing w:val="-1"/>
        </w:rPr>
        <w:t xml:space="preserve"> </w:t>
      </w:r>
      <w:r w:rsidR="00D47A06">
        <w:t>is</w:t>
      </w:r>
      <w:r w:rsidR="00D47A06">
        <w:rPr>
          <w:spacing w:val="-2"/>
        </w:rPr>
        <w:t xml:space="preserve"> </w:t>
      </w:r>
      <w:r w:rsidR="00D47A06">
        <w:t>unusually</w:t>
      </w:r>
      <w:r w:rsidR="00D47A06">
        <w:rPr>
          <w:spacing w:val="-1"/>
        </w:rPr>
        <w:t xml:space="preserve"> </w:t>
      </w:r>
      <w:r w:rsidR="00D47A06">
        <w:t>high.</w:t>
      </w:r>
      <w:r w:rsidR="00D47A06">
        <w:rPr>
          <w:spacing w:val="51"/>
        </w:rPr>
        <w:t xml:space="preserve"> </w:t>
      </w:r>
      <w:r w:rsidR="00D47A06">
        <w:t>The</w:t>
      </w:r>
      <w:r w:rsidR="00D47A06">
        <w:rPr>
          <w:spacing w:val="-1"/>
        </w:rPr>
        <w:t xml:space="preserve"> </w:t>
      </w:r>
      <w:r w:rsidR="00D47A06">
        <w:t>allotment</w:t>
      </w:r>
      <w:r w:rsidR="00D47A06">
        <w:rPr>
          <w:spacing w:val="-2"/>
        </w:rPr>
        <w:t xml:space="preserve"> </w:t>
      </w:r>
      <w:r w:rsidR="00D47A06">
        <w:t>of</w:t>
      </w:r>
      <w:r w:rsidR="00D47A06">
        <w:rPr>
          <w:spacing w:val="-1"/>
        </w:rPr>
        <w:t xml:space="preserve"> </w:t>
      </w:r>
      <w:r>
        <w:t>any compensation</w:t>
      </w:r>
      <w:r w:rsidR="00D47A06">
        <w:t xml:space="preserve"> will</w:t>
      </w:r>
      <w:r w:rsidR="00D47A06">
        <w:rPr>
          <w:spacing w:val="-4"/>
        </w:rPr>
        <w:t xml:space="preserve"> </w:t>
      </w:r>
      <w:r w:rsidR="00D47A06">
        <w:t>be</w:t>
      </w:r>
      <w:r>
        <w:t xml:space="preserve"> set in consultation with the Dean’s Office and must be</w:t>
      </w:r>
      <w:r w:rsidR="00D47A06">
        <w:rPr>
          <w:spacing w:val="-3"/>
        </w:rPr>
        <w:t xml:space="preserve"> </w:t>
      </w:r>
      <w:r w:rsidR="00D47A06">
        <w:t>consistent</w:t>
      </w:r>
      <w:r w:rsidR="00D47A06">
        <w:rPr>
          <w:spacing w:val="-3"/>
        </w:rPr>
        <w:t xml:space="preserve"> </w:t>
      </w:r>
      <w:r w:rsidR="00D47A06">
        <w:t>with</w:t>
      </w:r>
      <w:r w:rsidR="00D47A06">
        <w:rPr>
          <w:spacing w:val="-3"/>
        </w:rPr>
        <w:t xml:space="preserve"> </w:t>
      </w:r>
      <w:r w:rsidR="00D47A06">
        <w:t>university</w:t>
      </w:r>
      <w:r w:rsidR="00D47A06">
        <w:rPr>
          <w:spacing w:val="-3"/>
        </w:rPr>
        <w:t xml:space="preserve"> </w:t>
      </w:r>
      <w:r w:rsidR="00D47A06">
        <w:t>policy</w:t>
      </w:r>
      <w:r>
        <w:t>.</w:t>
      </w:r>
    </w:p>
    <w:p w14:paraId="470FDA42" w14:textId="77777777" w:rsidR="00D47A06" w:rsidRDefault="00D47A06" w:rsidP="00D47A06">
      <w:pPr>
        <w:pStyle w:val="BodyText"/>
        <w:widowControl/>
        <w:ind w:left="1440"/>
        <w:contextualSpacing/>
      </w:pPr>
    </w:p>
    <w:p w14:paraId="07B1938E" w14:textId="147FD3CF" w:rsidR="00D47A06" w:rsidRDefault="00D47A06" w:rsidP="00D47A06">
      <w:pPr>
        <w:pStyle w:val="BodyText"/>
        <w:widowControl/>
        <w:ind w:left="1440"/>
        <w:contextualSpacing/>
      </w:pPr>
      <w:r>
        <w:t>The</w:t>
      </w:r>
      <w:r w:rsidRPr="00D47A06">
        <w:rPr>
          <w:spacing w:val="-3"/>
        </w:rPr>
        <w:t xml:space="preserve"> </w:t>
      </w:r>
      <w:r>
        <w:t>specific</w:t>
      </w:r>
      <w:r w:rsidRPr="00D47A06">
        <w:rPr>
          <w:spacing w:val="-2"/>
        </w:rPr>
        <w:t xml:space="preserve"> </w:t>
      </w:r>
      <w:r>
        <w:t>expectations</w:t>
      </w:r>
      <w:r w:rsidRPr="00D47A06">
        <w:rPr>
          <w:spacing w:val="-2"/>
        </w:rPr>
        <w:t xml:space="preserve"> </w:t>
      </w:r>
      <w:r>
        <w:t>of</w:t>
      </w:r>
      <w:r w:rsidRPr="00D47A06">
        <w:rPr>
          <w:spacing w:val="-2"/>
        </w:rPr>
        <w:t xml:space="preserve"> </w:t>
      </w:r>
      <w:r>
        <w:t>these</w:t>
      </w:r>
      <w:r w:rsidRPr="00D47A06">
        <w:rPr>
          <w:spacing w:val="-2"/>
        </w:rPr>
        <w:t xml:space="preserve"> </w:t>
      </w:r>
      <w:r>
        <w:t>positions</w:t>
      </w:r>
      <w:r w:rsidRPr="00D47A06">
        <w:rPr>
          <w:spacing w:val="-2"/>
        </w:rPr>
        <w:t xml:space="preserve"> </w:t>
      </w:r>
      <w:r>
        <w:t>and</w:t>
      </w:r>
      <w:r w:rsidRPr="00D47A06">
        <w:rPr>
          <w:spacing w:val="-2"/>
        </w:rPr>
        <w:t xml:space="preserve"> </w:t>
      </w:r>
      <w:r>
        <w:t>associated</w:t>
      </w:r>
      <w:r w:rsidRPr="00D47A06">
        <w:rPr>
          <w:spacing w:val="-3"/>
        </w:rPr>
        <w:t xml:space="preserve"> </w:t>
      </w:r>
      <w:r>
        <w:t>FTE</w:t>
      </w:r>
      <w:r w:rsidRPr="00D47A06">
        <w:rPr>
          <w:spacing w:val="-2"/>
        </w:rPr>
        <w:t xml:space="preserve"> </w:t>
      </w:r>
      <w:r>
        <w:rPr>
          <w:spacing w:val="-1"/>
        </w:rPr>
        <w:t xml:space="preserve">course </w:t>
      </w:r>
      <w:r>
        <w:t>releases,</w:t>
      </w:r>
      <w:r w:rsidRPr="00D47A06">
        <w:rPr>
          <w:spacing w:val="-3"/>
        </w:rPr>
        <w:t xml:space="preserve"> </w:t>
      </w:r>
      <w:r>
        <w:t>and/or</w:t>
      </w:r>
      <w:r w:rsidRPr="00D47A06">
        <w:rPr>
          <w:spacing w:val="-2"/>
        </w:rPr>
        <w:t xml:space="preserve"> </w:t>
      </w:r>
      <w:r>
        <w:t>compensation</w:t>
      </w:r>
      <w:r w:rsidRPr="00D47A06">
        <w:rPr>
          <w:spacing w:val="-3"/>
        </w:rPr>
        <w:t xml:space="preserve"> </w:t>
      </w:r>
      <w:r>
        <w:t>will be</w:t>
      </w:r>
      <w:r w:rsidRPr="00D47A06">
        <w:rPr>
          <w:spacing w:val="-2"/>
        </w:rPr>
        <w:t xml:space="preserve"> </w:t>
      </w:r>
      <w:r>
        <w:t>found</w:t>
      </w:r>
      <w:r w:rsidRPr="00D47A06">
        <w:rPr>
          <w:spacing w:val="-3"/>
        </w:rPr>
        <w:t xml:space="preserve"> </w:t>
      </w:r>
      <w:r>
        <w:t>in</w:t>
      </w:r>
      <w:r w:rsidRPr="00D47A06">
        <w:rPr>
          <w:spacing w:val="-2"/>
        </w:rPr>
        <w:t xml:space="preserve"> </w:t>
      </w:r>
      <w:r>
        <w:t>their</w:t>
      </w:r>
      <w:r w:rsidRPr="00D47A06">
        <w:rPr>
          <w:spacing w:val="-2"/>
        </w:rPr>
        <w:t xml:space="preserve"> </w:t>
      </w:r>
      <w:r>
        <w:t>respective</w:t>
      </w:r>
      <w:r w:rsidRPr="00D47A06">
        <w:rPr>
          <w:spacing w:val="-3"/>
        </w:rPr>
        <w:t xml:space="preserve"> </w:t>
      </w:r>
      <w:r>
        <w:t>position</w:t>
      </w:r>
      <w:r w:rsidRPr="00D47A06">
        <w:rPr>
          <w:spacing w:val="-2"/>
        </w:rPr>
        <w:t xml:space="preserve"> </w:t>
      </w:r>
      <w:r>
        <w:t>descriptions.</w:t>
      </w:r>
    </w:p>
    <w:p w14:paraId="490E888C" w14:textId="77777777" w:rsidR="00D47A06" w:rsidRPr="00D47A06" w:rsidRDefault="00D47A06" w:rsidP="007F1401">
      <w:pPr>
        <w:pStyle w:val="BodyText"/>
        <w:widowControl/>
        <w:ind w:left="1440"/>
        <w:contextualSpacing/>
      </w:pPr>
    </w:p>
    <w:p w14:paraId="14A7F217" w14:textId="417D0BC6" w:rsidR="00D770EC" w:rsidRPr="007F1401" w:rsidRDefault="00D770EC" w:rsidP="007F1401">
      <w:pPr>
        <w:pStyle w:val="ListParagraph"/>
        <w:numPr>
          <w:ilvl w:val="0"/>
          <w:numId w:val="20"/>
        </w:numPr>
        <w:ind w:left="1440" w:hanging="720"/>
        <w:rPr>
          <w:b/>
          <w:bCs/>
          <w:color w:val="000000" w:themeColor="text1"/>
        </w:rPr>
      </w:pPr>
      <w:r w:rsidRPr="007F1401">
        <w:rPr>
          <w:b/>
          <w:bCs/>
          <w:color w:val="000000" w:themeColor="text1"/>
        </w:rPr>
        <w:t>Equity and inclusion</w:t>
      </w:r>
    </w:p>
    <w:p w14:paraId="09FF1574" w14:textId="77777777" w:rsidR="00D770EC" w:rsidRPr="00684F0B" w:rsidRDefault="00D770EC" w:rsidP="00D770EC">
      <w:pPr>
        <w:pStyle w:val="ListParagraph"/>
        <w:ind w:left="1080"/>
        <w:rPr>
          <w:b/>
          <w:color w:val="000000" w:themeColor="text1"/>
        </w:rPr>
      </w:pPr>
    </w:p>
    <w:p w14:paraId="6CF25B62" w14:textId="3CDAB1E4" w:rsidR="009A70B4" w:rsidRPr="00684F0B" w:rsidRDefault="00296AB9" w:rsidP="007F1401">
      <w:pPr>
        <w:ind w:left="1440"/>
        <w:rPr>
          <w:color w:val="000000" w:themeColor="text1"/>
        </w:rPr>
      </w:pPr>
      <w:r w:rsidRPr="00684F0B">
        <w:rPr>
          <w:color w:val="000000" w:themeColor="text1"/>
        </w:rPr>
        <w:t>F</w:t>
      </w:r>
      <w:r w:rsidR="00D770EC" w:rsidRPr="00684F0B">
        <w:rPr>
          <w:color w:val="000000" w:themeColor="text1"/>
        </w:rPr>
        <w:t xml:space="preserve">aculty are expected to contribute to the </w:t>
      </w:r>
      <w:r w:rsidR="00D47A06">
        <w:rPr>
          <w:color w:val="000000" w:themeColor="text1"/>
        </w:rPr>
        <w:t xml:space="preserve">AEI’s and </w:t>
      </w:r>
      <w:r w:rsidR="00D770EC" w:rsidRPr="00684F0B">
        <w:rPr>
          <w:color w:val="000000" w:themeColor="text1"/>
        </w:rPr>
        <w:t xml:space="preserve">University's goals regarding equity and inclusion. These contributions may consist of research, teaching, and service activities as appropriate, as well as involvement </w:t>
      </w:r>
      <w:r w:rsidR="00D47A06">
        <w:rPr>
          <w:color w:val="000000" w:themeColor="text1"/>
        </w:rPr>
        <w:t>on</w:t>
      </w:r>
      <w:r w:rsidR="00D47A06" w:rsidRPr="00684F0B">
        <w:rPr>
          <w:color w:val="000000" w:themeColor="text1"/>
        </w:rPr>
        <w:t xml:space="preserve"> </w:t>
      </w:r>
      <w:r w:rsidR="00D47A06">
        <w:rPr>
          <w:color w:val="000000" w:themeColor="text1"/>
        </w:rPr>
        <w:t xml:space="preserve">committees, and with </w:t>
      </w:r>
      <w:r w:rsidR="00D770EC" w:rsidRPr="00684F0B">
        <w:rPr>
          <w:color w:val="000000" w:themeColor="text1"/>
        </w:rPr>
        <w:t>academic and professional associations, non-profit, governmental, and/or private sector organizations.</w:t>
      </w:r>
    </w:p>
    <w:p w14:paraId="28A89F30" w14:textId="77777777" w:rsidR="009A70B4" w:rsidRPr="00684F0B" w:rsidRDefault="009A70B4" w:rsidP="00D770EC">
      <w:pPr>
        <w:rPr>
          <w:color w:val="000000" w:themeColor="text1"/>
        </w:rPr>
      </w:pPr>
    </w:p>
    <w:p w14:paraId="6755EFA1" w14:textId="77777777" w:rsidR="00D770EC" w:rsidRPr="00684F0B" w:rsidRDefault="00D770EC" w:rsidP="6C4B3B2C">
      <w:pPr>
        <w:pStyle w:val="ListParagraph"/>
        <w:numPr>
          <w:ilvl w:val="0"/>
          <w:numId w:val="5"/>
        </w:numPr>
        <w:rPr>
          <w:b/>
          <w:bCs/>
          <w:color w:val="000000" w:themeColor="text1"/>
        </w:rPr>
      </w:pPr>
      <w:r w:rsidRPr="6C4B3B2C">
        <w:rPr>
          <w:b/>
          <w:bCs/>
          <w:color w:val="000000" w:themeColor="text1"/>
        </w:rPr>
        <w:t>Teaching and Service Assignment Process for NTTF</w:t>
      </w:r>
    </w:p>
    <w:p w14:paraId="66D6DE1C" w14:textId="77777777" w:rsidR="00D770EC" w:rsidRPr="00684F0B" w:rsidRDefault="00D770EC" w:rsidP="6C4B3B2C">
      <w:pPr>
        <w:pStyle w:val="ListParagraph"/>
        <w:ind w:left="1080"/>
        <w:rPr>
          <w:b/>
          <w:bCs/>
          <w:color w:val="000000" w:themeColor="text1"/>
        </w:rPr>
      </w:pPr>
    </w:p>
    <w:p w14:paraId="5C13C438" w14:textId="77777777" w:rsidR="00D770EC" w:rsidRPr="00684F0B" w:rsidRDefault="00D770EC" w:rsidP="00D770EC">
      <w:pPr>
        <w:ind w:left="1080"/>
        <w:rPr>
          <w:b/>
          <w:color w:val="000000" w:themeColor="text1"/>
        </w:rPr>
      </w:pPr>
      <w:r w:rsidRPr="00684F0B">
        <w:rPr>
          <w:b/>
          <w:color w:val="000000" w:themeColor="text1"/>
        </w:rPr>
        <w:t>A.</w:t>
      </w:r>
      <w:r w:rsidRPr="00684F0B">
        <w:rPr>
          <w:b/>
          <w:color w:val="000000" w:themeColor="text1"/>
        </w:rPr>
        <w:tab/>
        <w:t>Teaching and service within the department</w:t>
      </w:r>
    </w:p>
    <w:p w14:paraId="7D5B6F55" w14:textId="77777777" w:rsidR="00D770EC" w:rsidRPr="00684F0B" w:rsidRDefault="00D770EC" w:rsidP="00D770EC">
      <w:pPr>
        <w:ind w:left="720"/>
        <w:rPr>
          <w:color w:val="000000" w:themeColor="text1"/>
        </w:rPr>
      </w:pPr>
    </w:p>
    <w:p w14:paraId="3EF8048C" w14:textId="58E66573" w:rsidR="00076B62" w:rsidRPr="00684F0B" w:rsidRDefault="47FF4CD6" w:rsidP="00EE2D85">
      <w:pPr>
        <w:ind w:left="1440"/>
      </w:pPr>
      <w:r>
        <w:t xml:space="preserve">Course Assignments: </w:t>
      </w:r>
      <w:r w:rsidR="00574E1A">
        <w:t xml:space="preserve">Except as otherwise determined by the </w:t>
      </w:r>
      <w:r w:rsidR="00076B62">
        <w:t>Provost, Dean, or other designee</w:t>
      </w:r>
      <w:r w:rsidR="00574E1A">
        <w:t xml:space="preserve">, the </w:t>
      </w:r>
      <w:r w:rsidR="002E4E46">
        <w:t xml:space="preserve">AEI </w:t>
      </w:r>
      <w:r w:rsidR="00274AC5">
        <w:t xml:space="preserve">Executive </w:t>
      </w:r>
      <w:r w:rsidR="002E4E46">
        <w:t>Director</w:t>
      </w:r>
      <w:r w:rsidR="005A063F">
        <w:t xml:space="preserve"> </w:t>
      </w:r>
      <w:r w:rsidR="00574E1A">
        <w:t>shall be responsible for the scheduling and assignment of all faculty members</w:t>
      </w:r>
      <w:r w:rsidR="001640E6">
        <w:t>’</w:t>
      </w:r>
      <w:r w:rsidR="00574E1A">
        <w:t xml:space="preserve"> </w:t>
      </w:r>
      <w:r w:rsidR="27830D1E">
        <w:t xml:space="preserve">instructional </w:t>
      </w:r>
      <w:r w:rsidR="00574E1A">
        <w:t>responsibilitie</w:t>
      </w:r>
      <w:r w:rsidR="005A063F">
        <w:t xml:space="preserve">s. Assignments </w:t>
      </w:r>
      <w:r w:rsidR="223A0B26">
        <w:t xml:space="preserve">can </w:t>
      </w:r>
      <w:r w:rsidR="005A063F">
        <w:t>be made in consultation with program coordinators</w:t>
      </w:r>
      <w:r w:rsidR="47FB08CF">
        <w:t>.</w:t>
      </w:r>
      <w:r w:rsidR="005A063F">
        <w:t xml:space="preserve"> </w:t>
      </w:r>
    </w:p>
    <w:p w14:paraId="1EE36ECB" w14:textId="77777777" w:rsidR="00355D66" w:rsidRPr="00684F0B" w:rsidRDefault="00355D66" w:rsidP="00076B62">
      <w:pPr>
        <w:rPr>
          <w:color w:val="008000"/>
        </w:rPr>
      </w:pPr>
    </w:p>
    <w:p w14:paraId="16470851" w14:textId="4C08331B" w:rsidR="00076B62" w:rsidRPr="00684F0B" w:rsidRDefault="009A70B4" w:rsidP="6C4B3B2C">
      <w:pPr>
        <w:ind w:left="1440"/>
        <w:rPr>
          <w:b/>
          <w:bCs/>
        </w:rPr>
      </w:pPr>
      <w:r>
        <w:t xml:space="preserve">AEI teaching assignments </w:t>
      </w:r>
      <w:r w:rsidR="00355D66">
        <w:t xml:space="preserve">in all programs </w:t>
      </w:r>
      <w:r>
        <w:t xml:space="preserve">are based on </w:t>
      </w:r>
      <w:r w:rsidR="21EDF5A1">
        <w:t xml:space="preserve"> </w:t>
      </w:r>
    </w:p>
    <w:p w14:paraId="780B61D9" w14:textId="41A807E5" w:rsidR="00076B62" w:rsidRPr="00684F0B" w:rsidRDefault="00C95AD2" w:rsidP="6C4B3B2C">
      <w:pPr>
        <w:ind w:left="1440"/>
        <w:rPr>
          <w:b/>
          <w:bCs/>
        </w:rPr>
      </w:pPr>
      <w:r>
        <w:t xml:space="preserve">1) </w:t>
      </w:r>
      <w:r w:rsidR="009A70B4">
        <w:t xml:space="preserve">programming needs </w:t>
      </w:r>
      <w:r>
        <w:t xml:space="preserve">as determined by enrollment, </w:t>
      </w:r>
      <w:r w:rsidR="00355D66">
        <w:t xml:space="preserve"> </w:t>
      </w:r>
    </w:p>
    <w:p w14:paraId="4A8DB0FE" w14:textId="6643AF6F" w:rsidR="00076B62" w:rsidRPr="00684F0B" w:rsidRDefault="00355D66" w:rsidP="74666B09">
      <w:pPr>
        <w:ind w:left="1440"/>
      </w:pPr>
      <w:r>
        <w:t xml:space="preserve">2) </w:t>
      </w:r>
      <w:r w:rsidR="26676DB1">
        <w:t xml:space="preserve"> prioritization matrix</w:t>
      </w:r>
      <w:r w:rsidR="790BB8A7">
        <w:t xml:space="preserve"> (available in the AEI Employee Handbook)</w:t>
      </w:r>
      <w:r w:rsidR="26676DB1">
        <w:t xml:space="preserve"> </w:t>
      </w:r>
    </w:p>
    <w:p w14:paraId="7A29A043" w14:textId="021277EB" w:rsidR="00076B62" w:rsidRPr="00684F0B" w:rsidRDefault="5EBC784E" w:rsidP="6C4B3B2C">
      <w:pPr>
        <w:ind w:left="1440"/>
        <w:rPr>
          <w:b/>
          <w:bCs/>
        </w:rPr>
      </w:pPr>
      <w:r>
        <w:t>3</w:t>
      </w:r>
      <w:r w:rsidR="26676DB1">
        <w:t xml:space="preserve">) </w:t>
      </w:r>
      <w:r w:rsidR="00355D66">
        <w:t>instructor skill</w:t>
      </w:r>
      <w:r w:rsidR="00C95AD2">
        <w:t xml:space="preserve"> and experience</w:t>
      </w:r>
      <w:r w:rsidR="00274AC5">
        <w:t>;</w:t>
      </w:r>
      <w:r w:rsidR="00C95AD2">
        <w:t xml:space="preserve"> </w:t>
      </w:r>
      <w:r w:rsidR="00466B8B">
        <w:t xml:space="preserve">and </w:t>
      </w:r>
    </w:p>
    <w:p w14:paraId="4423D6A0" w14:textId="406D264A" w:rsidR="00076B62" w:rsidRPr="00684F0B" w:rsidRDefault="431FEEEB" w:rsidP="74666B09">
      <w:pPr>
        <w:ind w:left="1440"/>
        <w:rPr>
          <w:b/>
          <w:bCs/>
        </w:rPr>
      </w:pPr>
      <w:r>
        <w:t>4</w:t>
      </w:r>
      <w:r w:rsidR="00466B8B">
        <w:t>)</w:t>
      </w:r>
      <w:r w:rsidR="05B9E04A">
        <w:t xml:space="preserve"> </w:t>
      </w:r>
      <w:r w:rsidR="00C95AD2">
        <w:t>the preferences of the instructor</w:t>
      </w:r>
      <w:r w:rsidR="00466B8B">
        <w:t>, based on completion of the</w:t>
      </w:r>
      <w:r w:rsidR="00C95AD2">
        <w:t xml:space="preserve"> </w:t>
      </w:r>
      <w:r w:rsidR="00466B8B">
        <w:t>faculty assignment request (FAR)</w:t>
      </w:r>
      <w:r w:rsidR="5AFC8C15">
        <w:t xml:space="preserve"> where possible</w:t>
      </w:r>
      <w:r w:rsidR="00C95AD2">
        <w:t xml:space="preserve">. </w:t>
      </w:r>
      <w:r w:rsidR="00466B8B">
        <w:t xml:space="preserve">Faculty members may request to adjust schedules or assignments. </w:t>
      </w:r>
      <w:r w:rsidR="00C95AD2">
        <w:t>Efforts are made to accommodate preferences as is possible within the program needs.</w:t>
      </w:r>
      <w:r w:rsidR="00076B62">
        <w:t xml:space="preserve"> </w:t>
      </w:r>
    </w:p>
    <w:p w14:paraId="56EF68BA" w14:textId="2762EF9E" w:rsidR="00C95AD2" w:rsidRPr="00684F0B" w:rsidRDefault="00C95AD2" w:rsidP="005F19CC">
      <w:pPr>
        <w:rPr>
          <w:color w:val="008000"/>
        </w:rPr>
      </w:pPr>
    </w:p>
    <w:p w14:paraId="198F5059" w14:textId="3A7162BC" w:rsidR="00C95AD2" w:rsidRPr="00684F0B" w:rsidRDefault="5422C1AD" w:rsidP="00D770EC">
      <w:pPr>
        <w:ind w:left="1440"/>
      </w:pPr>
      <w:r>
        <w:t xml:space="preserve">Committee Service: </w:t>
      </w:r>
      <w:r w:rsidR="00C95AD2">
        <w:t xml:space="preserve"> Calls are put out for volunteers for committee members via email.</w:t>
      </w:r>
      <w:r w:rsidR="00296AB9">
        <w:t xml:space="preserve"> A composition </w:t>
      </w:r>
      <w:r w:rsidR="00355D66">
        <w:t xml:space="preserve">of committee members is established via processes outlined in the Internal Governance </w:t>
      </w:r>
      <w:r w:rsidR="00466B8B">
        <w:t>D</w:t>
      </w:r>
      <w:r w:rsidR="00355D66">
        <w:t>ocument. In some cases, individual</w:t>
      </w:r>
      <w:r w:rsidR="009F4DE2">
        <w:t>s</w:t>
      </w:r>
      <w:r w:rsidR="00355D66">
        <w:t xml:space="preserve"> are asked directly to serve on a committee due to their expertise or previous experience with the committee</w:t>
      </w:r>
      <w:r w:rsidR="00466B8B">
        <w:t>.</w:t>
      </w:r>
    </w:p>
    <w:p w14:paraId="27D086E2" w14:textId="77777777" w:rsidR="00D770EC" w:rsidRPr="00684F0B" w:rsidRDefault="00D770EC" w:rsidP="00D22360"/>
    <w:p w14:paraId="2C8B517D" w14:textId="479620DE" w:rsidR="00D22360" w:rsidRDefault="421CE894" w:rsidP="00EE2D85">
      <w:pPr>
        <w:ind w:left="1440"/>
      </w:pPr>
      <w:r>
        <w:t xml:space="preserve">Instructor Preferences: </w:t>
      </w:r>
      <w:r w:rsidR="00D770EC">
        <w:t xml:space="preserve">A faculty member shall be afforded the opportunity to meet with </w:t>
      </w:r>
      <w:r w:rsidR="005A5B50">
        <w:t>their</w:t>
      </w:r>
      <w:r w:rsidR="00D770EC">
        <w:t xml:space="preserve"> </w:t>
      </w:r>
      <w:r w:rsidR="00296AB9">
        <w:t>direct supervisor</w:t>
      </w:r>
      <w:r w:rsidR="00307089">
        <w:t xml:space="preserve"> </w:t>
      </w:r>
      <w:r w:rsidR="005A5B50">
        <w:t xml:space="preserve">at least annually, before responsibilities are assigned, </w:t>
      </w:r>
      <w:r w:rsidR="00D770EC">
        <w:t xml:space="preserve">to discuss </w:t>
      </w:r>
      <w:r w:rsidR="005A5B50">
        <w:t>their</w:t>
      </w:r>
      <w:r w:rsidR="00D770EC">
        <w:t xml:space="preserve"> preferences regarding assignments for teaching, research, service and other professional responsibilities, and anticipated resource </w:t>
      </w:r>
      <w:r w:rsidR="00D770EC">
        <w:lastRenderedPageBreak/>
        <w:t xml:space="preserve">needs. The </w:t>
      </w:r>
      <w:proofErr w:type="gramStart"/>
      <w:r w:rsidR="00D770EC">
        <w:t>Provost</w:t>
      </w:r>
      <w:proofErr w:type="gramEnd"/>
      <w:r w:rsidR="00D770EC">
        <w:t xml:space="preserve"> or designee may modify scheduled assignments, provided that the </w:t>
      </w:r>
      <w:r w:rsidR="00296AB9">
        <w:t>direct supervisor</w:t>
      </w:r>
      <w:r w:rsidR="00D770EC">
        <w:t xml:space="preserve"> discusses changes with the faculty member before they are made and that changes are not made for arbitrary or capricious reasons.</w:t>
      </w:r>
      <w:r w:rsidR="00574E1A">
        <w:t xml:space="preserve"> </w:t>
      </w:r>
    </w:p>
    <w:p w14:paraId="0EF3425E" w14:textId="3CABCEEE" w:rsidR="00466B8B" w:rsidRDefault="00466B8B" w:rsidP="00EE2D85">
      <w:pPr>
        <w:ind w:left="1440"/>
      </w:pPr>
    </w:p>
    <w:p w14:paraId="262E5D4D" w14:textId="37646B36" w:rsidR="00466B8B" w:rsidRDefault="00466B8B" w:rsidP="00EE2D85">
      <w:pPr>
        <w:ind w:left="1440"/>
      </w:pPr>
      <w:r>
        <w:t xml:space="preserve">Assignment of professional responsibilities shall reflect a realistic balance of duties consistent with the criteria for </w:t>
      </w:r>
      <w:r w:rsidR="00274AC5">
        <w:t xml:space="preserve">faculty </w:t>
      </w:r>
      <w:r>
        <w:t xml:space="preserve">review. </w:t>
      </w:r>
    </w:p>
    <w:p w14:paraId="77C1E181" w14:textId="77777777" w:rsidR="00D22360" w:rsidRDefault="00D22360" w:rsidP="00D770EC">
      <w:pPr>
        <w:rPr>
          <w:color w:val="000000" w:themeColor="text1"/>
        </w:rPr>
      </w:pPr>
    </w:p>
    <w:p w14:paraId="432E9344" w14:textId="77777777" w:rsidR="00DA5758" w:rsidRPr="00DA5758" w:rsidRDefault="00DA5758" w:rsidP="00DA5758">
      <w:pPr>
        <w:ind w:firstLine="720"/>
        <w:rPr>
          <w:b/>
          <w:color w:val="000000" w:themeColor="text1"/>
        </w:rPr>
      </w:pPr>
      <w:r w:rsidRPr="00DA5758">
        <w:rPr>
          <w:b/>
          <w:color w:val="000000" w:themeColor="text1"/>
        </w:rPr>
        <w:t>B.</w:t>
      </w:r>
      <w:r w:rsidRPr="00DA5758">
        <w:rPr>
          <w:b/>
          <w:color w:val="000000" w:themeColor="text1"/>
        </w:rPr>
        <w:tab/>
        <w:t xml:space="preserve"> Special teaching or service within the department</w:t>
      </w:r>
    </w:p>
    <w:p w14:paraId="6CD47DAE" w14:textId="77777777" w:rsidR="00DA5758" w:rsidRPr="00DA5758" w:rsidRDefault="00DA5758" w:rsidP="00DA5758">
      <w:pPr>
        <w:rPr>
          <w:b/>
          <w:color w:val="000000" w:themeColor="text1"/>
        </w:rPr>
      </w:pPr>
    </w:p>
    <w:p w14:paraId="2EE65E38" w14:textId="6044462E" w:rsidR="00DA5758" w:rsidRPr="00DA5758" w:rsidRDefault="00DA5758" w:rsidP="007F1401">
      <w:pPr>
        <w:ind w:left="1440"/>
        <w:rPr>
          <w:color w:val="000000" w:themeColor="text1"/>
        </w:rPr>
      </w:pPr>
      <w:r w:rsidRPr="00DA5758">
        <w:rPr>
          <w:color w:val="000000" w:themeColor="text1"/>
        </w:rPr>
        <w:t xml:space="preserve">Separately from any course releases that may be associated with major administrative positions, a course release may be offered to a career </w:t>
      </w:r>
      <w:r w:rsidR="005A5B50">
        <w:rPr>
          <w:color w:val="000000" w:themeColor="text1"/>
        </w:rPr>
        <w:t>faculty</w:t>
      </w:r>
      <w:r w:rsidR="005A5B50" w:rsidRPr="00DA5758">
        <w:rPr>
          <w:color w:val="000000" w:themeColor="text1"/>
        </w:rPr>
        <w:t xml:space="preserve"> </w:t>
      </w:r>
      <w:r w:rsidRPr="00DA5758">
        <w:rPr>
          <w:color w:val="000000" w:themeColor="text1"/>
        </w:rPr>
        <w:t xml:space="preserve">to perform a specific teaching- or service-related assignment for the department or program, so long as the unit can still meet its instructional needs with existing resources. Approval is at the discretion of the </w:t>
      </w:r>
      <w:r w:rsidR="00466B8B">
        <w:rPr>
          <w:color w:val="000000" w:themeColor="text1"/>
        </w:rPr>
        <w:t xml:space="preserve">Executive </w:t>
      </w:r>
      <w:r w:rsidR="00CD6A95">
        <w:rPr>
          <w:color w:val="000000" w:themeColor="text1"/>
        </w:rPr>
        <w:t>Director</w:t>
      </w:r>
      <w:r w:rsidRPr="00DA5758">
        <w:rPr>
          <w:color w:val="000000" w:themeColor="text1"/>
        </w:rPr>
        <w:t>. Occasions for course release include the following:</w:t>
      </w:r>
    </w:p>
    <w:p w14:paraId="56B9544C" w14:textId="77777777" w:rsidR="00DA5758" w:rsidRPr="00DA5758" w:rsidRDefault="00DA5758" w:rsidP="007F1401">
      <w:pPr>
        <w:ind w:left="1440"/>
        <w:rPr>
          <w:color w:val="000000" w:themeColor="text1"/>
        </w:rPr>
      </w:pPr>
    </w:p>
    <w:p w14:paraId="241C37F5" w14:textId="0EE4C26F" w:rsidR="00DA5758" w:rsidRPr="007F1401" w:rsidRDefault="00DA5758" w:rsidP="007F1401">
      <w:pPr>
        <w:pStyle w:val="ListParagraph"/>
        <w:numPr>
          <w:ilvl w:val="1"/>
          <w:numId w:val="23"/>
        </w:numPr>
        <w:rPr>
          <w:color w:val="000000" w:themeColor="text1"/>
        </w:rPr>
      </w:pPr>
      <w:r w:rsidRPr="007F1401">
        <w:rPr>
          <w:color w:val="000000" w:themeColor="text1"/>
        </w:rPr>
        <w:t>A special professional development opportunity related to the faculty member’s instructional duties or position description</w:t>
      </w:r>
      <w:r w:rsidR="00466B8B" w:rsidRPr="007F1401">
        <w:rPr>
          <w:color w:val="000000" w:themeColor="text1"/>
        </w:rPr>
        <w:t>.</w:t>
      </w:r>
    </w:p>
    <w:p w14:paraId="699B7D88" w14:textId="61FAB2BF" w:rsidR="00DA5758" w:rsidRPr="007F1401" w:rsidRDefault="00DA5758" w:rsidP="007F1401">
      <w:pPr>
        <w:pStyle w:val="ListParagraph"/>
        <w:numPr>
          <w:ilvl w:val="1"/>
          <w:numId w:val="23"/>
        </w:numPr>
        <w:rPr>
          <w:color w:val="000000" w:themeColor="text1"/>
        </w:rPr>
      </w:pPr>
      <w:r w:rsidRPr="007F1401">
        <w:rPr>
          <w:color w:val="000000" w:themeColor="text1"/>
        </w:rPr>
        <w:t>A special teaching or service opportunity that benefits the department, college, or university</w:t>
      </w:r>
      <w:r w:rsidR="00466B8B" w:rsidRPr="007F1401">
        <w:rPr>
          <w:color w:val="000000" w:themeColor="text1"/>
        </w:rPr>
        <w:t>.</w:t>
      </w:r>
    </w:p>
    <w:p w14:paraId="0D2BA7D8" w14:textId="77777777" w:rsidR="00DA5758" w:rsidRPr="00DA5758" w:rsidRDefault="00DA5758" w:rsidP="007F1401">
      <w:pPr>
        <w:ind w:left="1440"/>
        <w:rPr>
          <w:color w:val="000000" w:themeColor="text1"/>
        </w:rPr>
      </w:pPr>
    </w:p>
    <w:p w14:paraId="2A7BD337" w14:textId="4B8C2340" w:rsidR="00DA5758" w:rsidRPr="00DA5758" w:rsidRDefault="00DA5758" w:rsidP="007F1401">
      <w:pPr>
        <w:ind w:left="1440"/>
        <w:rPr>
          <w:b/>
          <w:color w:val="000000" w:themeColor="text1"/>
        </w:rPr>
      </w:pPr>
      <w:r w:rsidRPr="00DA5758">
        <w:rPr>
          <w:color w:val="000000" w:themeColor="text1"/>
        </w:rPr>
        <w:t xml:space="preserve">In units with more than one career </w:t>
      </w:r>
      <w:r w:rsidR="00D1593C">
        <w:rPr>
          <w:color w:val="000000" w:themeColor="text1"/>
        </w:rPr>
        <w:t>faculty</w:t>
      </w:r>
      <w:r w:rsidRPr="00DA5758">
        <w:rPr>
          <w:color w:val="000000" w:themeColor="text1"/>
        </w:rPr>
        <w:t xml:space="preserve">, discretionary course releases may not be used to reduce the course load for all career </w:t>
      </w:r>
      <w:r w:rsidR="00D1593C">
        <w:rPr>
          <w:color w:val="000000" w:themeColor="text1"/>
        </w:rPr>
        <w:t>faculty</w:t>
      </w:r>
      <w:r w:rsidR="00D1593C" w:rsidRPr="00DA5758">
        <w:rPr>
          <w:color w:val="000000" w:themeColor="text1"/>
        </w:rPr>
        <w:t xml:space="preserve"> </w:t>
      </w:r>
      <w:r w:rsidRPr="00DA5758">
        <w:rPr>
          <w:color w:val="000000" w:themeColor="text1"/>
        </w:rPr>
        <w:t>in the unit without the approval of the Dean or Dean’s designee. Likewise, discretionary course releases may not be used to reduce the course load for an individual on a multi-year basis without the approval of the Dean or Dean’s designee. Approval of more than one such release for an individual requires prior consultation with the Dean or the Dean’s designee.</w:t>
      </w:r>
    </w:p>
    <w:p w14:paraId="6B62AA5D" w14:textId="77777777" w:rsidR="00DA5758" w:rsidRPr="00684F0B" w:rsidRDefault="00DA5758" w:rsidP="00D770EC">
      <w:pPr>
        <w:rPr>
          <w:color w:val="000000" w:themeColor="text1"/>
        </w:rPr>
      </w:pPr>
    </w:p>
    <w:p w14:paraId="58EDE7E8" w14:textId="0ACB1F6A" w:rsidR="00D770EC" w:rsidRPr="00684F0B" w:rsidRDefault="00DA5758" w:rsidP="0965BA9B">
      <w:pPr>
        <w:rPr>
          <w:b/>
          <w:bCs/>
          <w:color w:val="000000" w:themeColor="text1"/>
        </w:rPr>
      </w:pPr>
      <w:r>
        <w:rPr>
          <w:b/>
          <w:color w:val="000000" w:themeColor="text1"/>
        </w:rPr>
        <w:tab/>
      </w:r>
      <w:r w:rsidRPr="0965BA9B">
        <w:rPr>
          <w:b/>
          <w:bCs/>
          <w:color w:val="000000" w:themeColor="text1"/>
        </w:rPr>
        <w:t>C</w:t>
      </w:r>
      <w:r w:rsidR="00D770EC" w:rsidRPr="0965BA9B">
        <w:rPr>
          <w:b/>
          <w:bCs/>
          <w:color w:val="000000" w:themeColor="text1"/>
        </w:rPr>
        <w:t>.</w:t>
      </w:r>
      <w:r w:rsidR="3B539E4B" w:rsidRPr="0965BA9B">
        <w:rPr>
          <w:b/>
          <w:bCs/>
          <w:color w:val="000000" w:themeColor="text1"/>
        </w:rPr>
        <w:t xml:space="preserve"> </w:t>
      </w:r>
      <w:r w:rsidR="00D770EC" w:rsidRPr="00684F0B">
        <w:rPr>
          <w:b/>
          <w:color w:val="000000" w:themeColor="text1"/>
        </w:rPr>
        <w:tab/>
      </w:r>
      <w:r w:rsidR="00D770EC" w:rsidRPr="0965BA9B">
        <w:rPr>
          <w:b/>
          <w:bCs/>
          <w:color w:val="000000" w:themeColor="text1"/>
        </w:rPr>
        <w:t>Teaching and service outside the department</w:t>
      </w:r>
    </w:p>
    <w:p w14:paraId="39E69ACE" w14:textId="77777777" w:rsidR="00D770EC" w:rsidRPr="00684F0B" w:rsidRDefault="00D770EC" w:rsidP="00D770EC">
      <w:pPr>
        <w:ind w:left="720" w:firstLine="60"/>
        <w:rPr>
          <w:color w:val="000000" w:themeColor="text1"/>
        </w:rPr>
      </w:pPr>
    </w:p>
    <w:p w14:paraId="5ECD9D69" w14:textId="5A311940" w:rsidR="00D770EC" w:rsidRPr="00684F0B" w:rsidRDefault="00D770EC" w:rsidP="007F1401">
      <w:pPr>
        <w:ind w:left="1440"/>
        <w:rPr>
          <w:rFonts w:eastAsia="Times New Roman"/>
          <w:color w:val="000000" w:themeColor="text1"/>
        </w:rPr>
      </w:pPr>
      <w:r w:rsidRPr="00684F0B">
        <w:rPr>
          <w:color w:val="000000" w:themeColor="text1"/>
        </w:rPr>
        <w:t xml:space="preserve">A Career faculty member may be offered a </w:t>
      </w:r>
      <w:r w:rsidR="0031441F">
        <w:rPr>
          <w:color w:val="000000" w:themeColor="text1"/>
        </w:rPr>
        <w:t>release from instructional or non-instructional duties within AEI to perform a specific teaching- or service-related assignment for another unit</w:t>
      </w:r>
      <w:r w:rsidRPr="00684F0B">
        <w:rPr>
          <w:color w:val="000000" w:themeColor="text1"/>
        </w:rPr>
        <w:t xml:space="preserve">. Approval of such assignments is at the discretion of the Dean, or </w:t>
      </w:r>
      <w:r w:rsidR="0031441F">
        <w:rPr>
          <w:color w:val="000000" w:themeColor="text1"/>
        </w:rPr>
        <w:t xml:space="preserve">his/her </w:t>
      </w:r>
      <w:r w:rsidRPr="00684F0B">
        <w:rPr>
          <w:color w:val="000000" w:themeColor="text1"/>
        </w:rPr>
        <w:t xml:space="preserve">designee, acting in consultation with the heads or directors of both the home and the host </w:t>
      </w:r>
      <w:r w:rsidR="0031441F">
        <w:rPr>
          <w:color w:val="000000" w:themeColor="text1"/>
        </w:rPr>
        <w:t>units</w:t>
      </w:r>
      <w:r w:rsidRPr="00684F0B">
        <w:rPr>
          <w:color w:val="000000" w:themeColor="text1"/>
        </w:rPr>
        <w:t>.</w:t>
      </w:r>
    </w:p>
    <w:p w14:paraId="6B8A83D5" w14:textId="77777777" w:rsidR="00355D66" w:rsidRPr="00684F0B" w:rsidRDefault="00355D66" w:rsidP="00D770EC">
      <w:pPr>
        <w:ind w:left="720"/>
        <w:rPr>
          <w:rFonts w:eastAsia="Times New Roman"/>
          <w:color w:val="000000" w:themeColor="text1"/>
        </w:rPr>
      </w:pPr>
    </w:p>
    <w:p w14:paraId="5E5C4516" w14:textId="39518CB2" w:rsidR="00D770EC" w:rsidRPr="00684F0B" w:rsidRDefault="00DA5758" w:rsidP="00D22360">
      <w:pPr>
        <w:ind w:left="720"/>
        <w:rPr>
          <w:rFonts w:eastAsia="Times New Roman"/>
          <w:b/>
          <w:color w:val="000000" w:themeColor="text1"/>
        </w:rPr>
      </w:pPr>
      <w:r>
        <w:rPr>
          <w:rFonts w:eastAsia="Times New Roman"/>
          <w:b/>
          <w:color w:val="000000" w:themeColor="text1"/>
        </w:rPr>
        <w:t>D</w:t>
      </w:r>
      <w:r w:rsidR="00D770EC" w:rsidRPr="00684F0B">
        <w:rPr>
          <w:rFonts w:eastAsia="Times New Roman"/>
          <w:b/>
          <w:color w:val="000000" w:themeColor="text1"/>
        </w:rPr>
        <w:t>.</w:t>
      </w:r>
      <w:r w:rsidR="00D770EC" w:rsidRPr="00684F0B">
        <w:rPr>
          <w:rFonts w:eastAsia="Times New Roman"/>
          <w:b/>
          <w:color w:val="000000" w:themeColor="text1"/>
        </w:rPr>
        <w:tab/>
        <w:t>Course release for grants and fellowships</w:t>
      </w:r>
    </w:p>
    <w:p w14:paraId="14D358A0" w14:textId="5F46EA2D" w:rsidR="00D22360" w:rsidRPr="00684F0B" w:rsidRDefault="00D22360" w:rsidP="00D22360">
      <w:pPr>
        <w:ind w:left="1440" w:hanging="720"/>
        <w:rPr>
          <w:rFonts w:eastAsia="Times New Roman"/>
          <w:b/>
        </w:rPr>
      </w:pPr>
    </w:p>
    <w:p w14:paraId="3E240135" w14:textId="1263F3E8" w:rsidR="00D770EC" w:rsidRPr="00684F0B" w:rsidRDefault="00D770EC" w:rsidP="00574E1A">
      <w:pPr>
        <w:ind w:left="1440"/>
        <w:rPr>
          <w:rFonts w:eastAsia="Times New Roman"/>
        </w:rPr>
      </w:pPr>
      <w:r w:rsidRPr="00684F0B">
        <w:rPr>
          <w:rFonts w:eastAsia="Times New Roman"/>
        </w:rPr>
        <w:t xml:space="preserve">A Career </w:t>
      </w:r>
      <w:r w:rsidR="00AD2C48">
        <w:rPr>
          <w:rFonts w:eastAsia="Times New Roman"/>
        </w:rPr>
        <w:t>faculty</w:t>
      </w:r>
      <w:r w:rsidR="00AD2C48" w:rsidRPr="00684F0B">
        <w:rPr>
          <w:rFonts w:eastAsia="Times New Roman"/>
        </w:rPr>
        <w:t xml:space="preserve"> </w:t>
      </w:r>
      <w:r w:rsidRPr="00684F0B">
        <w:rPr>
          <w:rFonts w:eastAsia="Times New Roman"/>
        </w:rPr>
        <w:t xml:space="preserve">who has received, or is supported by, an internal or external grant or fellowship </w:t>
      </w:r>
      <w:r w:rsidR="0031441F">
        <w:rPr>
          <w:rFonts w:eastAsia="Times New Roman"/>
        </w:rPr>
        <w:t xml:space="preserve">aside from AEI’s own grant-funded programs </w:t>
      </w:r>
      <w:r w:rsidRPr="00684F0B">
        <w:rPr>
          <w:rFonts w:eastAsia="Times New Roman"/>
        </w:rPr>
        <w:t xml:space="preserve">may be released from teaching one or more courses, so long as (a) sufficient course buyout funds are available from the grant or fellowship and/or other approved sources to fund the </w:t>
      </w:r>
      <w:r w:rsidRPr="00684F0B">
        <w:rPr>
          <w:rFonts w:eastAsia="Times New Roman"/>
        </w:rPr>
        <w:lastRenderedPageBreak/>
        <w:t xml:space="preserve">replacement of the instruction that would be lost as a result of such release(s), and (b) such release(s) from teaching would not, in the judgment of the </w:t>
      </w:r>
      <w:r w:rsidR="00466B8B">
        <w:rPr>
          <w:rFonts w:eastAsia="Times New Roman"/>
        </w:rPr>
        <w:t>Executive Director</w:t>
      </w:r>
      <w:r w:rsidRPr="00684F0B">
        <w:rPr>
          <w:rFonts w:eastAsia="Times New Roman"/>
        </w:rPr>
        <w:t>, unduly compromise the department’s ability to meet the curricular and enrollment needs served by the faculty member’s course(s) in either its own or other academic programs. The applicable course buyout rates and guidelines on replacement instruction are those set forth in the College and/or University policies in effect on the date the teaching release(s) is first approved.</w:t>
      </w:r>
    </w:p>
    <w:p w14:paraId="76B1889A" w14:textId="77777777" w:rsidR="009F4DE2" w:rsidRPr="00684F0B" w:rsidRDefault="009F4DE2" w:rsidP="00F04714">
      <w:pPr>
        <w:rPr>
          <w:rFonts w:eastAsia="Times New Roman"/>
          <w:color w:val="000000" w:themeColor="text1"/>
        </w:rPr>
      </w:pPr>
    </w:p>
    <w:p w14:paraId="064F3117" w14:textId="7F2A6763" w:rsidR="00D770EC" w:rsidRPr="00684F0B" w:rsidRDefault="00DA5758" w:rsidP="006B187A">
      <w:pPr>
        <w:keepNext/>
        <w:ind w:left="720"/>
        <w:rPr>
          <w:rFonts w:eastAsia="Times New Roman"/>
          <w:color w:val="000000" w:themeColor="text1"/>
        </w:rPr>
      </w:pPr>
      <w:r>
        <w:rPr>
          <w:rFonts w:eastAsia="Times New Roman"/>
          <w:b/>
          <w:color w:val="000000" w:themeColor="text1"/>
        </w:rPr>
        <w:t>E</w:t>
      </w:r>
      <w:r w:rsidR="00D770EC" w:rsidRPr="00684F0B">
        <w:rPr>
          <w:rFonts w:eastAsia="Times New Roman"/>
          <w:b/>
          <w:color w:val="000000" w:themeColor="text1"/>
        </w:rPr>
        <w:t>.</w:t>
      </w:r>
      <w:r w:rsidR="00D770EC" w:rsidRPr="00684F0B">
        <w:rPr>
          <w:rFonts w:eastAsia="Times New Roman"/>
          <w:b/>
          <w:color w:val="000000" w:themeColor="text1"/>
        </w:rPr>
        <w:tab/>
        <w:t>Overload assignments</w:t>
      </w:r>
    </w:p>
    <w:p w14:paraId="271AE2E0" w14:textId="77777777" w:rsidR="00D770EC" w:rsidRPr="00684F0B" w:rsidRDefault="00D770EC" w:rsidP="006B187A">
      <w:pPr>
        <w:keepNext/>
        <w:ind w:left="720"/>
        <w:rPr>
          <w:rFonts w:eastAsia="Times New Roman"/>
          <w:color w:val="000000" w:themeColor="text1"/>
        </w:rPr>
      </w:pPr>
    </w:p>
    <w:p w14:paraId="0A7AA693" w14:textId="13D263F3" w:rsidR="00D770EC" w:rsidRPr="00684F0B" w:rsidRDefault="00D770EC" w:rsidP="007F1401">
      <w:pPr>
        <w:ind w:left="1440"/>
        <w:rPr>
          <w:rFonts w:eastAsia="Times New Roman"/>
          <w:color w:val="000000" w:themeColor="text1"/>
        </w:rPr>
      </w:pPr>
      <w:r w:rsidRPr="00684F0B">
        <w:rPr>
          <w:rFonts w:eastAsia="Times New Roman"/>
          <w:color w:val="000000" w:themeColor="text1"/>
        </w:rPr>
        <w:t xml:space="preserve">An overload assignment is (1) an assignment that is in addition to the faculty member’s regular assignment and FTE status; (2) a one time or limited assignment, made or approved by the </w:t>
      </w:r>
      <w:proofErr w:type="gramStart"/>
      <w:r w:rsidRPr="00684F0B">
        <w:rPr>
          <w:rFonts w:eastAsia="Times New Roman"/>
          <w:color w:val="000000" w:themeColor="text1"/>
        </w:rPr>
        <w:t>Provost</w:t>
      </w:r>
      <w:proofErr w:type="gramEnd"/>
      <w:r w:rsidRPr="00684F0B">
        <w:rPr>
          <w:rFonts w:eastAsia="Times New Roman"/>
          <w:color w:val="000000" w:themeColor="text1"/>
        </w:rPr>
        <w:t xml:space="preserve"> or designee, that is in addition to or different from regular or usual assignments for the member’s classification and rank; or (3) assignments unrelated to the bargaining unit member’s primary job responsibilities.</w:t>
      </w:r>
    </w:p>
    <w:p w14:paraId="1E551000" w14:textId="77777777" w:rsidR="00D770EC" w:rsidRPr="00684F0B" w:rsidRDefault="00D770EC" w:rsidP="00D770EC">
      <w:pPr>
        <w:ind w:left="1440"/>
        <w:rPr>
          <w:rFonts w:eastAsia="Times New Roman"/>
          <w:color w:val="000000" w:themeColor="text1"/>
        </w:rPr>
      </w:pPr>
    </w:p>
    <w:p w14:paraId="5F26EE25" w14:textId="71A6D0C4" w:rsidR="00D770EC" w:rsidRDefault="00D770EC" w:rsidP="00D90118">
      <w:pPr>
        <w:ind w:left="1440"/>
        <w:rPr>
          <w:rFonts w:eastAsia="Times New Roman"/>
          <w:color w:val="000000" w:themeColor="text1"/>
        </w:rPr>
      </w:pPr>
      <w:r w:rsidRPr="00684F0B">
        <w:rPr>
          <w:rFonts w:eastAsia="Times New Roman"/>
          <w:color w:val="000000" w:themeColor="text1"/>
        </w:rPr>
        <w:t xml:space="preserve">Except as otherwise indicated in the June 10, </w:t>
      </w:r>
      <w:proofErr w:type="gramStart"/>
      <w:r w:rsidRPr="00684F0B">
        <w:rPr>
          <w:rFonts w:eastAsia="Times New Roman"/>
          <w:color w:val="000000" w:themeColor="text1"/>
        </w:rPr>
        <w:t>2014</w:t>
      </w:r>
      <w:proofErr w:type="gramEnd"/>
      <w:r w:rsidRPr="00684F0B">
        <w:rPr>
          <w:rFonts w:eastAsia="Times New Roman"/>
          <w:color w:val="000000" w:themeColor="text1"/>
        </w:rPr>
        <w:t xml:space="preserve"> Memorandum of Understanding regarding overload assignments, or in successor agreements, overload appointments will be assigned an FTE percentage commensurate with normal workload duties and compensated accordingly. Faculty may request that overload compensation take the form of class release. No bargaining unit faculty member may be disciplined or terminated for refusing an overload assignment. Appointments for which compensation is paid, in whole or in part, with federal funds may be ineligible for overload compensation.</w:t>
      </w:r>
    </w:p>
    <w:p w14:paraId="3678CC1B" w14:textId="35E37E1C" w:rsidR="43C0BCA9" w:rsidRDefault="43C0BCA9" w:rsidP="43C0BCA9">
      <w:pPr>
        <w:ind w:left="1440"/>
        <w:rPr>
          <w:rFonts w:ascii="Calibri" w:eastAsia="MS Mincho" w:hAnsi="Calibri"/>
          <w:color w:val="000000" w:themeColor="text1"/>
        </w:rPr>
      </w:pPr>
    </w:p>
    <w:p w14:paraId="1492D76D" w14:textId="77777777" w:rsidR="00574E1A" w:rsidRPr="00684F0B" w:rsidRDefault="00574E1A" w:rsidP="00D770EC">
      <w:pPr>
        <w:rPr>
          <w:rFonts w:eastAsia="Times New Roman"/>
          <w:color w:val="000000" w:themeColor="text1"/>
        </w:rPr>
      </w:pPr>
    </w:p>
    <w:p w14:paraId="738AF341" w14:textId="13755560" w:rsidR="00D770EC" w:rsidRPr="00684F0B" w:rsidRDefault="00DA5758" w:rsidP="00D770EC">
      <w:pPr>
        <w:ind w:left="720"/>
        <w:rPr>
          <w:rFonts w:eastAsia="Times New Roman"/>
          <w:b/>
          <w:color w:val="000000" w:themeColor="text1"/>
        </w:rPr>
      </w:pPr>
      <w:r>
        <w:rPr>
          <w:rFonts w:eastAsia="Times New Roman"/>
          <w:b/>
          <w:color w:val="000000" w:themeColor="text1"/>
        </w:rPr>
        <w:t>F</w:t>
      </w:r>
      <w:r w:rsidR="00D770EC" w:rsidRPr="00684F0B">
        <w:rPr>
          <w:rFonts w:eastAsia="Times New Roman"/>
          <w:b/>
          <w:color w:val="000000" w:themeColor="text1"/>
        </w:rPr>
        <w:t>.</w:t>
      </w:r>
      <w:r w:rsidR="00D770EC" w:rsidRPr="00684F0B">
        <w:rPr>
          <w:rFonts w:eastAsia="Times New Roman"/>
          <w:b/>
          <w:color w:val="000000" w:themeColor="text1"/>
        </w:rPr>
        <w:tab/>
        <w:t>Course cancellation policy</w:t>
      </w:r>
    </w:p>
    <w:p w14:paraId="34A30172" w14:textId="77777777" w:rsidR="00D770EC" w:rsidRPr="00684F0B" w:rsidRDefault="00D770EC" w:rsidP="00D770EC">
      <w:pPr>
        <w:ind w:left="720"/>
        <w:rPr>
          <w:rFonts w:eastAsia="Times New Roman"/>
          <w:color w:val="000000" w:themeColor="text1"/>
        </w:rPr>
      </w:pPr>
    </w:p>
    <w:p w14:paraId="266A08C2" w14:textId="648B7C34" w:rsidR="00B70022" w:rsidRPr="00EE2D85" w:rsidRDefault="0031441F" w:rsidP="0031441F">
      <w:pPr>
        <w:ind w:left="1440"/>
      </w:pPr>
      <w:r w:rsidRPr="0031441F">
        <w:rPr>
          <w:rFonts w:eastAsia="Times New Roman"/>
        </w:rPr>
        <w:t xml:space="preserve">If a teaching assignment is cancelled for any reason, the </w:t>
      </w:r>
      <w:r w:rsidR="00466B8B">
        <w:rPr>
          <w:rFonts w:eastAsia="Times New Roman"/>
        </w:rPr>
        <w:t xml:space="preserve">Executive </w:t>
      </w:r>
      <w:r>
        <w:rPr>
          <w:rFonts w:eastAsia="Times New Roman"/>
        </w:rPr>
        <w:t xml:space="preserve">Director </w:t>
      </w:r>
      <w:r w:rsidR="00466B8B">
        <w:rPr>
          <w:rFonts w:eastAsia="Times New Roman"/>
        </w:rPr>
        <w:t xml:space="preserve">or designee </w:t>
      </w:r>
      <w:r w:rsidRPr="0031441F">
        <w:rPr>
          <w:rFonts w:eastAsia="Times New Roman"/>
        </w:rPr>
        <w:t xml:space="preserve">will consult with the faculty member and assign alternative duties at the same FTE in the same term, reassign the affected faculty member to an appropriate </w:t>
      </w:r>
      <w:r>
        <w:rPr>
          <w:rFonts w:eastAsia="Times New Roman"/>
        </w:rPr>
        <w:t>teaching assignment</w:t>
      </w:r>
      <w:r w:rsidRPr="0031441F">
        <w:rPr>
          <w:rFonts w:eastAsia="Times New Roman"/>
        </w:rPr>
        <w:t>, or alternative assignment, in the same academic year</w:t>
      </w:r>
      <w:r w:rsidR="00466B8B">
        <w:rPr>
          <w:rFonts w:eastAsia="Times New Roman"/>
        </w:rPr>
        <w:t xml:space="preserve"> per contracted FTE.</w:t>
      </w:r>
    </w:p>
    <w:sectPr w:rsidR="00B70022" w:rsidRPr="00EE2D85" w:rsidSect="00EE2D85">
      <w:headerReference w:type="default" r:id="rId10"/>
      <w:footerReference w:type="even" r:id="rId11"/>
      <w:footerReference w:type="default" r:id="rId12"/>
      <w:pgSz w:w="12240" w:h="15840"/>
      <w:pgMar w:top="180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E7E2" w14:textId="77777777" w:rsidR="005C618E" w:rsidRDefault="005C618E" w:rsidP="00D770EC">
      <w:r>
        <w:separator/>
      </w:r>
    </w:p>
  </w:endnote>
  <w:endnote w:type="continuationSeparator" w:id="0">
    <w:p w14:paraId="2FABAC33" w14:textId="77777777" w:rsidR="005C618E" w:rsidRDefault="005C618E" w:rsidP="00D7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B2C8" w14:textId="77777777" w:rsidR="003611B4" w:rsidRDefault="003611B4" w:rsidP="00684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69AEB" w14:textId="77777777" w:rsidR="003611B4" w:rsidRDefault="0036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DF12" w14:textId="1AEFCAC3" w:rsidR="003611B4" w:rsidRDefault="003611B4" w:rsidP="0030015B">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2780E">
      <w:rPr>
        <w:rStyle w:val="PageNumber"/>
        <w:noProof/>
      </w:rPr>
      <w:t>1</w:t>
    </w:r>
    <w:r>
      <w:rPr>
        <w:rStyle w:val="PageNumber"/>
      </w:rPr>
      <w:fldChar w:fldCharType="end"/>
    </w:r>
  </w:p>
  <w:p w14:paraId="627B7E4B" w14:textId="77777777" w:rsidR="003611B4" w:rsidRDefault="003611B4" w:rsidP="006C7E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3DAF" w14:textId="77777777" w:rsidR="005C618E" w:rsidRDefault="005C618E" w:rsidP="00D770EC">
      <w:r>
        <w:separator/>
      </w:r>
    </w:p>
  </w:footnote>
  <w:footnote w:type="continuationSeparator" w:id="0">
    <w:p w14:paraId="2E9FCCE9" w14:textId="77777777" w:rsidR="005C618E" w:rsidRDefault="005C618E" w:rsidP="00D7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2E0B" w14:textId="5628CDF3" w:rsidR="003611B4" w:rsidRDefault="003611B4" w:rsidP="00D770EC">
    <w:pPr>
      <w:pStyle w:val="Header"/>
      <w:jc w:val="center"/>
      <w:rPr>
        <w:b/>
        <w:color w:val="808080" w:themeColor="background1" w:themeShade="80"/>
      </w:rPr>
    </w:pPr>
    <w:r w:rsidRPr="00684F0B">
      <w:rPr>
        <w:b/>
        <w:color w:val="808080" w:themeColor="background1" w:themeShade="80"/>
      </w:rPr>
      <w:t xml:space="preserve">CAS Career </w:t>
    </w:r>
    <w:r w:rsidR="003C5705">
      <w:rPr>
        <w:b/>
        <w:color w:val="808080" w:themeColor="background1" w:themeShade="80"/>
      </w:rPr>
      <w:t>Faculty</w:t>
    </w:r>
    <w:r w:rsidR="003C5705" w:rsidRPr="00684F0B">
      <w:rPr>
        <w:b/>
        <w:color w:val="808080" w:themeColor="background1" w:themeShade="80"/>
      </w:rPr>
      <w:t xml:space="preserve"> </w:t>
    </w:r>
    <w:r w:rsidRPr="00684F0B">
      <w:rPr>
        <w:b/>
        <w:color w:val="808080" w:themeColor="background1" w:themeShade="80"/>
      </w:rPr>
      <w:t>Profes</w:t>
    </w:r>
    <w:r>
      <w:rPr>
        <w:b/>
        <w:color w:val="808080" w:themeColor="background1" w:themeShade="80"/>
      </w:rPr>
      <w:t xml:space="preserve">sional Responsibilities </w:t>
    </w:r>
  </w:p>
  <w:p w14:paraId="6DFAF527" w14:textId="7F744705" w:rsidR="003611B4" w:rsidRDefault="003611B4" w:rsidP="00D770EC">
    <w:pPr>
      <w:pStyle w:val="Header"/>
      <w:jc w:val="center"/>
      <w:rPr>
        <w:b/>
        <w:color w:val="808080" w:themeColor="background1" w:themeShade="80"/>
      </w:rPr>
    </w:pPr>
    <w:r>
      <w:rPr>
        <w:b/>
        <w:color w:val="808080" w:themeColor="background1" w:themeShade="80"/>
      </w:rPr>
      <w:t xml:space="preserve">American English Institute </w:t>
    </w:r>
  </w:p>
  <w:p w14:paraId="605DDD65" w14:textId="3ECE90B0" w:rsidR="003C5705" w:rsidRPr="007F1401" w:rsidRDefault="003C5705" w:rsidP="00D770EC">
    <w:pPr>
      <w:pStyle w:val="Header"/>
      <w:jc w:val="center"/>
      <w:rPr>
        <w:b/>
        <w:color w:val="FF0000"/>
      </w:rPr>
    </w:pPr>
    <w:r w:rsidRPr="007F1401">
      <w:rPr>
        <w:b/>
        <w:color w:val="FF0000"/>
      </w:rPr>
      <w:t>Revisions Approved by the Office of the Provost June 24,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23E"/>
    <w:multiLevelType w:val="hybridMultilevel"/>
    <w:tmpl w:val="A3A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487F"/>
    <w:multiLevelType w:val="hybridMultilevel"/>
    <w:tmpl w:val="D28609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8914B8"/>
    <w:multiLevelType w:val="hybridMultilevel"/>
    <w:tmpl w:val="9F2AA67C"/>
    <w:lvl w:ilvl="0" w:tplc="D6423E70">
      <w:start w:val="10"/>
      <w:numFmt w:val="bullet"/>
      <w:lvlText w:val="•"/>
      <w:lvlJc w:val="left"/>
      <w:pPr>
        <w:ind w:left="2520" w:hanging="360"/>
      </w:pPr>
      <w:rPr>
        <w:rFonts w:ascii="Arial" w:eastAsia="Arial" w:hAnsi="Arial" w:cs="Arial" w:hint="default"/>
        <w:w w:val="9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5C4396"/>
    <w:multiLevelType w:val="hybridMultilevel"/>
    <w:tmpl w:val="2954C11E"/>
    <w:lvl w:ilvl="0" w:tplc="D6423E70">
      <w:start w:val="10"/>
      <w:numFmt w:val="bullet"/>
      <w:lvlText w:val="•"/>
      <w:lvlJc w:val="left"/>
      <w:pPr>
        <w:ind w:left="3600" w:hanging="360"/>
      </w:pPr>
      <w:rPr>
        <w:rFonts w:ascii="Arial" w:eastAsia="Arial" w:hAnsi="Arial" w:cs="Arial" w:hint="default"/>
        <w:w w:val="90"/>
      </w:rPr>
    </w:lvl>
    <w:lvl w:ilvl="1" w:tplc="D6423E70">
      <w:start w:val="10"/>
      <w:numFmt w:val="bullet"/>
      <w:lvlText w:val="•"/>
      <w:lvlJc w:val="left"/>
      <w:pPr>
        <w:ind w:left="2520" w:hanging="360"/>
      </w:pPr>
      <w:rPr>
        <w:rFonts w:ascii="Arial" w:eastAsia="Arial" w:hAnsi="Arial" w:cs="Arial" w:hint="default"/>
        <w:w w:val="9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7773D9"/>
    <w:multiLevelType w:val="hybridMultilevel"/>
    <w:tmpl w:val="00A62496"/>
    <w:lvl w:ilvl="0" w:tplc="93862512">
      <w:start w:val="1"/>
      <w:numFmt w:val="decimal"/>
      <w:lvlText w:val="%1."/>
      <w:lvlJc w:val="left"/>
      <w:pPr>
        <w:ind w:left="1890" w:hanging="720"/>
      </w:pPr>
      <w:rPr>
        <w:rFonts w:asciiTheme="majorHAnsi" w:eastAsiaTheme="minorEastAsia" w:hAnsiTheme="majorHAns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D887866"/>
    <w:multiLevelType w:val="hybridMultilevel"/>
    <w:tmpl w:val="456CCA8C"/>
    <w:lvl w:ilvl="0" w:tplc="D6423E70">
      <w:start w:val="10"/>
      <w:numFmt w:val="bullet"/>
      <w:lvlText w:val="•"/>
      <w:lvlJc w:val="left"/>
      <w:pPr>
        <w:ind w:left="3600" w:hanging="360"/>
      </w:pPr>
      <w:rPr>
        <w:rFonts w:ascii="Arial" w:eastAsia="Arial" w:hAnsi="Arial" w:cs="Arial" w:hint="default"/>
        <w:w w:val="9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8E6273"/>
    <w:multiLevelType w:val="multilevel"/>
    <w:tmpl w:val="A5E0F4A8"/>
    <w:lvl w:ilvl="0">
      <w:start w:val="3"/>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5276983"/>
    <w:multiLevelType w:val="hybridMultilevel"/>
    <w:tmpl w:val="2D7A183C"/>
    <w:lvl w:ilvl="0" w:tplc="111A6814">
      <w:start w:val="3"/>
      <w:numFmt w:val="none"/>
      <w:lvlText w:val="E."/>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8397C"/>
    <w:multiLevelType w:val="hybridMultilevel"/>
    <w:tmpl w:val="115C71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D21AA3"/>
    <w:multiLevelType w:val="hybridMultilevel"/>
    <w:tmpl w:val="2D8834C2"/>
    <w:lvl w:ilvl="0" w:tplc="D6423E70">
      <w:start w:val="10"/>
      <w:numFmt w:val="bullet"/>
      <w:lvlText w:val="•"/>
      <w:lvlJc w:val="left"/>
      <w:pPr>
        <w:ind w:left="3600" w:hanging="360"/>
      </w:pPr>
      <w:rPr>
        <w:rFonts w:ascii="Arial" w:eastAsia="Arial" w:hAnsi="Arial" w:cs="Arial" w:hint="default"/>
        <w:w w:val="90"/>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845D80"/>
    <w:multiLevelType w:val="hybridMultilevel"/>
    <w:tmpl w:val="73589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4F5B38"/>
    <w:multiLevelType w:val="hybridMultilevel"/>
    <w:tmpl w:val="3B6603E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B66EE"/>
    <w:multiLevelType w:val="multilevel"/>
    <w:tmpl w:val="E3085FB8"/>
    <w:lvl w:ilvl="0">
      <w:start w:val="1"/>
      <w:numFmt w:val="upperLetter"/>
      <w:lvlText w:val="C%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7BE79E0"/>
    <w:multiLevelType w:val="multilevel"/>
    <w:tmpl w:val="00F07656"/>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8C5808"/>
    <w:multiLevelType w:val="hybridMultilevel"/>
    <w:tmpl w:val="129406C8"/>
    <w:lvl w:ilvl="0" w:tplc="9F74B2C4">
      <w:start w:val="1"/>
      <w:numFmt w:val="none"/>
      <w:lvlText w:val="C."/>
      <w:lvlJc w:val="left"/>
      <w:pPr>
        <w:ind w:left="18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053EEB"/>
    <w:multiLevelType w:val="hybridMultilevel"/>
    <w:tmpl w:val="2070C8F0"/>
    <w:lvl w:ilvl="0" w:tplc="AEBAC11C">
      <w:start w:val="1"/>
      <w:numFmt w:val="none"/>
      <w:lvlText w:val="D."/>
      <w:lvlJc w:val="left"/>
      <w:pPr>
        <w:ind w:left="18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905ACA"/>
    <w:multiLevelType w:val="hybridMultilevel"/>
    <w:tmpl w:val="4CF602AA"/>
    <w:lvl w:ilvl="0" w:tplc="111A6814">
      <w:start w:val="3"/>
      <w:numFmt w:val="none"/>
      <w:lvlText w:val="E."/>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5A5BAF"/>
    <w:multiLevelType w:val="hybridMultilevel"/>
    <w:tmpl w:val="B290EEF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01DE1"/>
    <w:multiLevelType w:val="multilevel"/>
    <w:tmpl w:val="A5E0F4A8"/>
    <w:lvl w:ilvl="0">
      <w:start w:val="3"/>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9B05781"/>
    <w:multiLevelType w:val="hybridMultilevel"/>
    <w:tmpl w:val="5F780052"/>
    <w:lvl w:ilvl="0" w:tplc="B4083ABA">
      <w:start w:val="1"/>
      <w:numFmt w:val="upperRoman"/>
      <w:lvlText w:val="%1."/>
      <w:lvlJc w:val="left"/>
      <w:pPr>
        <w:ind w:left="720" w:hanging="360"/>
      </w:pPr>
    </w:lvl>
    <w:lvl w:ilvl="1" w:tplc="55D8CC08">
      <w:start w:val="1"/>
      <w:numFmt w:val="lowerLetter"/>
      <w:lvlText w:val="%2."/>
      <w:lvlJc w:val="left"/>
      <w:pPr>
        <w:ind w:left="1440" w:hanging="360"/>
      </w:pPr>
    </w:lvl>
    <w:lvl w:ilvl="2" w:tplc="FACC0D20">
      <w:start w:val="1"/>
      <w:numFmt w:val="lowerRoman"/>
      <w:lvlText w:val="%3."/>
      <w:lvlJc w:val="right"/>
      <w:pPr>
        <w:ind w:left="2160" w:hanging="180"/>
      </w:pPr>
    </w:lvl>
    <w:lvl w:ilvl="3" w:tplc="DCF89CEE">
      <w:start w:val="1"/>
      <w:numFmt w:val="decimal"/>
      <w:lvlText w:val="%4."/>
      <w:lvlJc w:val="left"/>
      <w:pPr>
        <w:ind w:left="2880" w:hanging="360"/>
      </w:pPr>
    </w:lvl>
    <w:lvl w:ilvl="4" w:tplc="C6CC28BA">
      <w:start w:val="1"/>
      <w:numFmt w:val="lowerLetter"/>
      <w:lvlText w:val="%5."/>
      <w:lvlJc w:val="left"/>
      <w:pPr>
        <w:ind w:left="3600" w:hanging="360"/>
      </w:pPr>
    </w:lvl>
    <w:lvl w:ilvl="5" w:tplc="E7E60642">
      <w:start w:val="1"/>
      <w:numFmt w:val="lowerRoman"/>
      <w:lvlText w:val="%6."/>
      <w:lvlJc w:val="right"/>
      <w:pPr>
        <w:ind w:left="4320" w:hanging="180"/>
      </w:pPr>
    </w:lvl>
    <w:lvl w:ilvl="6" w:tplc="7EFC20A6">
      <w:start w:val="1"/>
      <w:numFmt w:val="decimal"/>
      <w:lvlText w:val="%7."/>
      <w:lvlJc w:val="left"/>
      <w:pPr>
        <w:ind w:left="5040" w:hanging="360"/>
      </w:pPr>
    </w:lvl>
    <w:lvl w:ilvl="7" w:tplc="C0D078CA">
      <w:start w:val="1"/>
      <w:numFmt w:val="lowerLetter"/>
      <w:lvlText w:val="%8."/>
      <w:lvlJc w:val="left"/>
      <w:pPr>
        <w:ind w:left="5760" w:hanging="360"/>
      </w:pPr>
    </w:lvl>
    <w:lvl w:ilvl="8" w:tplc="605C32A8">
      <w:start w:val="1"/>
      <w:numFmt w:val="lowerRoman"/>
      <w:lvlText w:val="%9."/>
      <w:lvlJc w:val="right"/>
      <w:pPr>
        <w:ind w:left="6480" w:hanging="180"/>
      </w:pPr>
    </w:lvl>
  </w:abstractNum>
  <w:abstractNum w:abstractNumId="20" w15:restartNumberingAfterBreak="0">
    <w:nsid w:val="70F96076"/>
    <w:multiLevelType w:val="multilevel"/>
    <w:tmpl w:val="129406C8"/>
    <w:lvl w:ilvl="0">
      <w:start w:val="1"/>
      <w:numFmt w:val="none"/>
      <w:lvlText w:val="C."/>
      <w:lvlJc w:val="left"/>
      <w:pPr>
        <w:ind w:left="189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1DC4C6E"/>
    <w:multiLevelType w:val="hybridMultilevel"/>
    <w:tmpl w:val="00F07656"/>
    <w:lvl w:ilvl="0" w:tplc="DA2207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3D2698"/>
    <w:multiLevelType w:val="hybridMultilevel"/>
    <w:tmpl w:val="AB821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91705795">
    <w:abstractNumId w:val="19"/>
  </w:num>
  <w:num w:numId="2" w16cid:durableId="1526627696">
    <w:abstractNumId w:val="21"/>
  </w:num>
  <w:num w:numId="3" w16cid:durableId="2083142173">
    <w:abstractNumId w:val="4"/>
  </w:num>
  <w:num w:numId="4" w16cid:durableId="598215723">
    <w:abstractNumId w:val="16"/>
  </w:num>
  <w:num w:numId="5" w16cid:durableId="692147225">
    <w:abstractNumId w:val="11"/>
  </w:num>
  <w:num w:numId="6" w16cid:durableId="1241212187">
    <w:abstractNumId w:val="1"/>
  </w:num>
  <w:num w:numId="7" w16cid:durableId="1854370075">
    <w:abstractNumId w:val="0"/>
  </w:num>
  <w:num w:numId="8" w16cid:durableId="119157021">
    <w:abstractNumId w:val="8"/>
  </w:num>
  <w:num w:numId="9" w16cid:durableId="1255044577">
    <w:abstractNumId w:val="22"/>
  </w:num>
  <w:num w:numId="10" w16cid:durableId="1624000612">
    <w:abstractNumId w:val="10"/>
  </w:num>
  <w:num w:numId="11" w16cid:durableId="1858150220">
    <w:abstractNumId w:val="13"/>
  </w:num>
  <w:num w:numId="12" w16cid:durableId="1460034378">
    <w:abstractNumId w:val="14"/>
  </w:num>
  <w:num w:numId="13" w16cid:durableId="1837651955">
    <w:abstractNumId w:val="12"/>
  </w:num>
  <w:num w:numId="14" w16cid:durableId="1103919745">
    <w:abstractNumId w:val="20"/>
  </w:num>
  <w:num w:numId="15" w16cid:durableId="2049647327">
    <w:abstractNumId w:val="15"/>
  </w:num>
  <w:num w:numId="16" w16cid:durableId="1843740372">
    <w:abstractNumId w:val="18"/>
  </w:num>
  <w:num w:numId="17" w16cid:durableId="2090693138">
    <w:abstractNumId w:val="6"/>
  </w:num>
  <w:num w:numId="18" w16cid:durableId="1018233943">
    <w:abstractNumId w:val="7"/>
  </w:num>
  <w:num w:numId="19" w16cid:durableId="1831939812">
    <w:abstractNumId w:val="2"/>
  </w:num>
  <w:num w:numId="20" w16cid:durableId="186138123">
    <w:abstractNumId w:val="17"/>
  </w:num>
  <w:num w:numId="21" w16cid:durableId="2109617710">
    <w:abstractNumId w:val="5"/>
  </w:num>
  <w:num w:numId="22" w16cid:durableId="1893229721">
    <w:abstractNumId w:val="9"/>
  </w:num>
  <w:num w:numId="23" w16cid:durableId="1184054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EC"/>
    <w:rsid w:val="00014ED4"/>
    <w:rsid w:val="0003785D"/>
    <w:rsid w:val="0004552A"/>
    <w:rsid w:val="00053DEE"/>
    <w:rsid w:val="00057F84"/>
    <w:rsid w:val="00062891"/>
    <w:rsid w:val="00076B62"/>
    <w:rsid w:val="00087347"/>
    <w:rsid w:val="000B1D35"/>
    <w:rsid w:val="000B36C8"/>
    <w:rsid w:val="000C690C"/>
    <w:rsid w:val="000D1418"/>
    <w:rsid w:val="000E6D6D"/>
    <w:rsid w:val="00111C8E"/>
    <w:rsid w:val="001170F7"/>
    <w:rsid w:val="00140015"/>
    <w:rsid w:val="001512A1"/>
    <w:rsid w:val="00155082"/>
    <w:rsid w:val="001640E6"/>
    <w:rsid w:val="001670E0"/>
    <w:rsid w:val="001717C4"/>
    <w:rsid w:val="001844E8"/>
    <w:rsid w:val="001A1484"/>
    <w:rsid w:val="001A251F"/>
    <w:rsid w:val="001A4EA9"/>
    <w:rsid w:val="001C6B39"/>
    <w:rsid w:val="001D461B"/>
    <w:rsid w:val="001E6AED"/>
    <w:rsid w:val="001F1B4B"/>
    <w:rsid w:val="001F29D2"/>
    <w:rsid w:val="002030DE"/>
    <w:rsid w:val="00204CDC"/>
    <w:rsid w:val="0022780E"/>
    <w:rsid w:val="00241757"/>
    <w:rsid w:val="0024335E"/>
    <w:rsid w:val="00244F04"/>
    <w:rsid w:val="00252F84"/>
    <w:rsid w:val="00272F22"/>
    <w:rsid w:val="00274AC5"/>
    <w:rsid w:val="00296AB9"/>
    <w:rsid w:val="002C2CEF"/>
    <w:rsid w:val="002D4A37"/>
    <w:rsid w:val="002E4E46"/>
    <w:rsid w:val="002E5420"/>
    <w:rsid w:val="0030015B"/>
    <w:rsid w:val="00300FC4"/>
    <w:rsid w:val="00307089"/>
    <w:rsid w:val="0031039D"/>
    <w:rsid w:val="00313629"/>
    <w:rsid w:val="0031441F"/>
    <w:rsid w:val="00316F04"/>
    <w:rsid w:val="00323E00"/>
    <w:rsid w:val="003418DB"/>
    <w:rsid w:val="00341EF7"/>
    <w:rsid w:val="00355D66"/>
    <w:rsid w:val="00356D32"/>
    <w:rsid w:val="0035DF71"/>
    <w:rsid w:val="003611B4"/>
    <w:rsid w:val="00373950"/>
    <w:rsid w:val="00386074"/>
    <w:rsid w:val="00387065"/>
    <w:rsid w:val="003949B7"/>
    <w:rsid w:val="003B1ECC"/>
    <w:rsid w:val="003C5705"/>
    <w:rsid w:val="003D218D"/>
    <w:rsid w:val="004123A4"/>
    <w:rsid w:val="00460AB0"/>
    <w:rsid w:val="00466B8B"/>
    <w:rsid w:val="00470E5D"/>
    <w:rsid w:val="00475507"/>
    <w:rsid w:val="004777BE"/>
    <w:rsid w:val="00486B48"/>
    <w:rsid w:val="0048D9ED"/>
    <w:rsid w:val="00490711"/>
    <w:rsid w:val="004B36D4"/>
    <w:rsid w:val="004B6A87"/>
    <w:rsid w:val="004F56CF"/>
    <w:rsid w:val="00574E1A"/>
    <w:rsid w:val="0059772D"/>
    <w:rsid w:val="005A063F"/>
    <w:rsid w:val="005A5B50"/>
    <w:rsid w:val="005C618E"/>
    <w:rsid w:val="005D06D9"/>
    <w:rsid w:val="005F19CC"/>
    <w:rsid w:val="005F376C"/>
    <w:rsid w:val="006469FF"/>
    <w:rsid w:val="00647237"/>
    <w:rsid w:val="00671EF2"/>
    <w:rsid w:val="00673853"/>
    <w:rsid w:val="00684F0B"/>
    <w:rsid w:val="006B187A"/>
    <w:rsid w:val="006C7E4C"/>
    <w:rsid w:val="006F4310"/>
    <w:rsid w:val="00721010"/>
    <w:rsid w:val="00722DE3"/>
    <w:rsid w:val="00723B53"/>
    <w:rsid w:val="007410E6"/>
    <w:rsid w:val="007546FE"/>
    <w:rsid w:val="00754909"/>
    <w:rsid w:val="00775975"/>
    <w:rsid w:val="00777CCC"/>
    <w:rsid w:val="00793FA7"/>
    <w:rsid w:val="007A269C"/>
    <w:rsid w:val="007C7983"/>
    <w:rsid w:val="007D7A57"/>
    <w:rsid w:val="007E342C"/>
    <w:rsid w:val="007F1401"/>
    <w:rsid w:val="00807D50"/>
    <w:rsid w:val="00830C4E"/>
    <w:rsid w:val="00851268"/>
    <w:rsid w:val="008B024A"/>
    <w:rsid w:val="008D4F8A"/>
    <w:rsid w:val="008E4B4F"/>
    <w:rsid w:val="008F6619"/>
    <w:rsid w:val="009052FA"/>
    <w:rsid w:val="00950D5C"/>
    <w:rsid w:val="009549A1"/>
    <w:rsid w:val="00983529"/>
    <w:rsid w:val="00985E51"/>
    <w:rsid w:val="009A70B4"/>
    <w:rsid w:val="009F4DE2"/>
    <w:rsid w:val="00A75A85"/>
    <w:rsid w:val="00A81F88"/>
    <w:rsid w:val="00A92D1D"/>
    <w:rsid w:val="00A96114"/>
    <w:rsid w:val="00AA5E98"/>
    <w:rsid w:val="00AB1DB4"/>
    <w:rsid w:val="00AD1DC8"/>
    <w:rsid w:val="00AD2C48"/>
    <w:rsid w:val="00AE291E"/>
    <w:rsid w:val="00B0132D"/>
    <w:rsid w:val="00B10F96"/>
    <w:rsid w:val="00B46B03"/>
    <w:rsid w:val="00B534F8"/>
    <w:rsid w:val="00B70022"/>
    <w:rsid w:val="00BA04D0"/>
    <w:rsid w:val="00BB1093"/>
    <w:rsid w:val="00BC0F43"/>
    <w:rsid w:val="00BC59E2"/>
    <w:rsid w:val="00BD4452"/>
    <w:rsid w:val="00BF492F"/>
    <w:rsid w:val="00BF76C1"/>
    <w:rsid w:val="00C036EB"/>
    <w:rsid w:val="00C03DB4"/>
    <w:rsid w:val="00C21692"/>
    <w:rsid w:val="00C21C0E"/>
    <w:rsid w:val="00C239DD"/>
    <w:rsid w:val="00C24401"/>
    <w:rsid w:val="00C51722"/>
    <w:rsid w:val="00C56FAD"/>
    <w:rsid w:val="00C6218D"/>
    <w:rsid w:val="00C62383"/>
    <w:rsid w:val="00C74CED"/>
    <w:rsid w:val="00C7538B"/>
    <w:rsid w:val="00C93276"/>
    <w:rsid w:val="00C95AD2"/>
    <w:rsid w:val="00CA3310"/>
    <w:rsid w:val="00CB0ACF"/>
    <w:rsid w:val="00CB0F49"/>
    <w:rsid w:val="00CB785F"/>
    <w:rsid w:val="00CB7BC1"/>
    <w:rsid w:val="00CD6A95"/>
    <w:rsid w:val="00D1593C"/>
    <w:rsid w:val="00D22360"/>
    <w:rsid w:val="00D47A06"/>
    <w:rsid w:val="00D47F69"/>
    <w:rsid w:val="00D60D1C"/>
    <w:rsid w:val="00D770EC"/>
    <w:rsid w:val="00D90118"/>
    <w:rsid w:val="00DA5758"/>
    <w:rsid w:val="00E82B20"/>
    <w:rsid w:val="00EA6CEA"/>
    <w:rsid w:val="00ED0290"/>
    <w:rsid w:val="00EE2D85"/>
    <w:rsid w:val="00F04714"/>
    <w:rsid w:val="00F116A7"/>
    <w:rsid w:val="00F41300"/>
    <w:rsid w:val="00F468DB"/>
    <w:rsid w:val="00F55730"/>
    <w:rsid w:val="00FB6147"/>
    <w:rsid w:val="00FB767D"/>
    <w:rsid w:val="00FC2544"/>
    <w:rsid w:val="00FC2EB3"/>
    <w:rsid w:val="00FE5F0B"/>
    <w:rsid w:val="00FF59D7"/>
    <w:rsid w:val="01417865"/>
    <w:rsid w:val="016646B1"/>
    <w:rsid w:val="01789819"/>
    <w:rsid w:val="0241E46A"/>
    <w:rsid w:val="02CA1083"/>
    <w:rsid w:val="02DD48C6"/>
    <w:rsid w:val="03F6924D"/>
    <w:rsid w:val="03FF2C52"/>
    <w:rsid w:val="0443E393"/>
    <w:rsid w:val="0448EED6"/>
    <w:rsid w:val="0509C0A7"/>
    <w:rsid w:val="05A646E6"/>
    <w:rsid w:val="05B9E04A"/>
    <w:rsid w:val="08983062"/>
    <w:rsid w:val="08E0AEA5"/>
    <w:rsid w:val="0922715D"/>
    <w:rsid w:val="093361ED"/>
    <w:rsid w:val="0965BA9B"/>
    <w:rsid w:val="0A39C46D"/>
    <w:rsid w:val="0C0CDD4A"/>
    <w:rsid w:val="0C405081"/>
    <w:rsid w:val="0DB68B02"/>
    <w:rsid w:val="0DCE445F"/>
    <w:rsid w:val="0E1BC1B2"/>
    <w:rsid w:val="0E50D441"/>
    <w:rsid w:val="0E82AD45"/>
    <w:rsid w:val="0F2E1674"/>
    <w:rsid w:val="0F390BEF"/>
    <w:rsid w:val="0FE4755C"/>
    <w:rsid w:val="0FF95D18"/>
    <w:rsid w:val="103A4268"/>
    <w:rsid w:val="133F7627"/>
    <w:rsid w:val="13E0F4DE"/>
    <w:rsid w:val="13FB64EF"/>
    <w:rsid w:val="15A8748A"/>
    <w:rsid w:val="15BA0837"/>
    <w:rsid w:val="166B40B6"/>
    <w:rsid w:val="1805EAED"/>
    <w:rsid w:val="180613ED"/>
    <w:rsid w:val="1815E6FA"/>
    <w:rsid w:val="18FA5382"/>
    <w:rsid w:val="1A6D492D"/>
    <w:rsid w:val="1B1FE4C0"/>
    <w:rsid w:val="1B576DD5"/>
    <w:rsid w:val="1B71051C"/>
    <w:rsid w:val="1B79B3B2"/>
    <w:rsid w:val="1C17B60E"/>
    <w:rsid w:val="1C93ED1E"/>
    <w:rsid w:val="1CA4078A"/>
    <w:rsid w:val="1CDD8287"/>
    <w:rsid w:val="1D0E1447"/>
    <w:rsid w:val="1D407D3F"/>
    <w:rsid w:val="1E8BC41D"/>
    <w:rsid w:val="1E9C2CD0"/>
    <w:rsid w:val="1F5968A1"/>
    <w:rsid w:val="21EDF5A1"/>
    <w:rsid w:val="223A0B26"/>
    <w:rsid w:val="224B1D19"/>
    <w:rsid w:val="22C56AD8"/>
    <w:rsid w:val="22FAA689"/>
    <w:rsid w:val="230D49BE"/>
    <w:rsid w:val="239D9EB0"/>
    <w:rsid w:val="242921AD"/>
    <w:rsid w:val="2455B1E4"/>
    <w:rsid w:val="24A8BC7C"/>
    <w:rsid w:val="24F479DC"/>
    <w:rsid w:val="25846F38"/>
    <w:rsid w:val="25C09482"/>
    <w:rsid w:val="26676DB1"/>
    <w:rsid w:val="26C91627"/>
    <w:rsid w:val="26CE7518"/>
    <w:rsid w:val="27830D1E"/>
    <w:rsid w:val="284E2BA8"/>
    <w:rsid w:val="29D36EF2"/>
    <w:rsid w:val="2D7D516B"/>
    <w:rsid w:val="2DCA1A70"/>
    <w:rsid w:val="2E6DBA45"/>
    <w:rsid w:val="2F70A04E"/>
    <w:rsid w:val="2FA94299"/>
    <w:rsid w:val="2FDAAF1B"/>
    <w:rsid w:val="30593D8D"/>
    <w:rsid w:val="31A16794"/>
    <w:rsid w:val="31FAF697"/>
    <w:rsid w:val="3248CD3D"/>
    <w:rsid w:val="32C27AD5"/>
    <w:rsid w:val="3455E727"/>
    <w:rsid w:val="347D3724"/>
    <w:rsid w:val="351916F1"/>
    <w:rsid w:val="35AA3793"/>
    <w:rsid w:val="3602C78A"/>
    <w:rsid w:val="36CA81A3"/>
    <w:rsid w:val="36D982CD"/>
    <w:rsid w:val="36EC93E6"/>
    <w:rsid w:val="371282E5"/>
    <w:rsid w:val="37917A26"/>
    <w:rsid w:val="383B4213"/>
    <w:rsid w:val="389A3154"/>
    <w:rsid w:val="38BC8506"/>
    <w:rsid w:val="39553FCC"/>
    <w:rsid w:val="39BFBC68"/>
    <w:rsid w:val="3B0E4BFE"/>
    <w:rsid w:val="3B539E4B"/>
    <w:rsid w:val="3B662CB0"/>
    <w:rsid w:val="3C896E2A"/>
    <w:rsid w:val="3D8FF629"/>
    <w:rsid w:val="3DFBCE14"/>
    <w:rsid w:val="3E332812"/>
    <w:rsid w:val="4128F91C"/>
    <w:rsid w:val="413C4BEE"/>
    <w:rsid w:val="41759CF5"/>
    <w:rsid w:val="421CE894"/>
    <w:rsid w:val="42ADBC3A"/>
    <w:rsid w:val="431FEEEB"/>
    <w:rsid w:val="43C0BCA9"/>
    <w:rsid w:val="43D5330F"/>
    <w:rsid w:val="44024F01"/>
    <w:rsid w:val="44596531"/>
    <w:rsid w:val="45CC6AC2"/>
    <w:rsid w:val="46D7889C"/>
    <w:rsid w:val="470F9ACE"/>
    <w:rsid w:val="4786465D"/>
    <w:rsid w:val="47FB08CF"/>
    <w:rsid w:val="47FF4CD6"/>
    <w:rsid w:val="49656D15"/>
    <w:rsid w:val="4A31E68B"/>
    <w:rsid w:val="4A8800F3"/>
    <w:rsid w:val="4ABDE71F"/>
    <w:rsid w:val="4B195B0B"/>
    <w:rsid w:val="4B1FA3DC"/>
    <w:rsid w:val="4B3502B3"/>
    <w:rsid w:val="4BFD2CC6"/>
    <w:rsid w:val="4CB09A03"/>
    <w:rsid w:val="4CD81B1D"/>
    <w:rsid w:val="4CE4E428"/>
    <w:rsid w:val="4E73EB7E"/>
    <w:rsid w:val="4E99330B"/>
    <w:rsid w:val="4EB2FF06"/>
    <w:rsid w:val="4F8449EA"/>
    <w:rsid w:val="509426BD"/>
    <w:rsid w:val="50ADE582"/>
    <w:rsid w:val="5422C1AD"/>
    <w:rsid w:val="553BACB2"/>
    <w:rsid w:val="5875DF45"/>
    <w:rsid w:val="58991DC3"/>
    <w:rsid w:val="598CA8E0"/>
    <w:rsid w:val="5A5EE9F1"/>
    <w:rsid w:val="5AFC8C15"/>
    <w:rsid w:val="5B8ED25C"/>
    <w:rsid w:val="5C0F49D0"/>
    <w:rsid w:val="5CAABFE4"/>
    <w:rsid w:val="5D5B372C"/>
    <w:rsid w:val="5DF04ABE"/>
    <w:rsid w:val="5E139931"/>
    <w:rsid w:val="5EBC784E"/>
    <w:rsid w:val="5F0CC3E5"/>
    <w:rsid w:val="60194C05"/>
    <w:rsid w:val="617E3107"/>
    <w:rsid w:val="649CA96C"/>
    <w:rsid w:val="663879CD"/>
    <w:rsid w:val="66FA48CF"/>
    <w:rsid w:val="675CC4DF"/>
    <w:rsid w:val="676C637D"/>
    <w:rsid w:val="68119681"/>
    <w:rsid w:val="6833213D"/>
    <w:rsid w:val="6853023E"/>
    <w:rsid w:val="6885E34E"/>
    <w:rsid w:val="68FFA4C6"/>
    <w:rsid w:val="6954F591"/>
    <w:rsid w:val="695D30D8"/>
    <w:rsid w:val="6A871C0A"/>
    <w:rsid w:val="6A972C9E"/>
    <w:rsid w:val="6BE7E202"/>
    <w:rsid w:val="6BEBC0FF"/>
    <w:rsid w:val="6C2F8FE7"/>
    <w:rsid w:val="6C4434AE"/>
    <w:rsid w:val="6C4B3B2C"/>
    <w:rsid w:val="6D440CE9"/>
    <w:rsid w:val="6D84F12D"/>
    <w:rsid w:val="6D9B9884"/>
    <w:rsid w:val="6E349A06"/>
    <w:rsid w:val="6E72811B"/>
    <w:rsid w:val="7021BA39"/>
    <w:rsid w:val="709EBBFD"/>
    <w:rsid w:val="734CDEB7"/>
    <w:rsid w:val="73D7C8B4"/>
    <w:rsid w:val="74666B09"/>
    <w:rsid w:val="757C89BE"/>
    <w:rsid w:val="76B93029"/>
    <w:rsid w:val="77055261"/>
    <w:rsid w:val="7729382D"/>
    <w:rsid w:val="77AC8933"/>
    <w:rsid w:val="78B2D72E"/>
    <w:rsid w:val="78D06196"/>
    <w:rsid w:val="78DE30EB"/>
    <w:rsid w:val="790BB8A7"/>
    <w:rsid w:val="798823C7"/>
    <w:rsid w:val="79E09DB6"/>
    <w:rsid w:val="7A0C55E9"/>
    <w:rsid w:val="7A4FFAE1"/>
    <w:rsid w:val="7C15D1AD"/>
    <w:rsid w:val="7C22BADF"/>
    <w:rsid w:val="7C6E0741"/>
    <w:rsid w:val="7CB4526C"/>
    <w:rsid w:val="7CC80500"/>
    <w:rsid w:val="7F1F9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4493C3"/>
  <w14:defaultImageDpi w14:val="300"/>
  <w15:docId w15:val="{35095B5F-7061-074C-BF31-13A73434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EC"/>
    <w:rPr>
      <w:rFonts w:asciiTheme="majorHAnsi" w:hAnsiTheme="maj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EC"/>
    <w:pPr>
      <w:ind w:left="720"/>
      <w:contextualSpacing/>
    </w:pPr>
  </w:style>
  <w:style w:type="paragraph" w:styleId="Header">
    <w:name w:val="header"/>
    <w:basedOn w:val="Normal"/>
    <w:link w:val="HeaderChar"/>
    <w:uiPriority w:val="99"/>
    <w:unhideWhenUsed/>
    <w:rsid w:val="00D770EC"/>
    <w:pPr>
      <w:tabs>
        <w:tab w:val="center" w:pos="4320"/>
        <w:tab w:val="right" w:pos="8640"/>
      </w:tabs>
    </w:pPr>
  </w:style>
  <w:style w:type="character" w:customStyle="1" w:styleId="HeaderChar">
    <w:name w:val="Header Char"/>
    <w:basedOn w:val="DefaultParagraphFont"/>
    <w:link w:val="Header"/>
    <w:uiPriority w:val="99"/>
    <w:rsid w:val="00D770EC"/>
    <w:rPr>
      <w:rFonts w:asciiTheme="majorHAnsi" w:hAnsiTheme="majorHAnsi" w:cstheme="minorBidi"/>
      <w:sz w:val="24"/>
      <w:szCs w:val="24"/>
      <w:lang w:eastAsia="en-US"/>
    </w:rPr>
  </w:style>
  <w:style w:type="paragraph" w:styleId="Footer">
    <w:name w:val="footer"/>
    <w:basedOn w:val="Normal"/>
    <w:link w:val="FooterChar"/>
    <w:uiPriority w:val="99"/>
    <w:unhideWhenUsed/>
    <w:rsid w:val="00D770EC"/>
    <w:pPr>
      <w:tabs>
        <w:tab w:val="center" w:pos="4320"/>
        <w:tab w:val="right" w:pos="8640"/>
      </w:tabs>
    </w:pPr>
  </w:style>
  <w:style w:type="character" w:customStyle="1" w:styleId="FooterChar">
    <w:name w:val="Footer Char"/>
    <w:basedOn w:val="DefaultParagraphFont"/>
    <w:link w:val="Footer"/>
    <w:uiPriority w:val="99"/>
    <w:rsid w:val="00D770EC"/>
    <w:rPr>
      <w:rFonts w:asciiTheme="majorHAnsi" w:hAnsiTheme="majorHAnsi" w:cstheme="minorBidi"/>
      <w:sz w:val="24"/>
      <w:szCs w:val="24"/>
      <w:lang w:eastAsia="en-US"/>
    </w:rPr>
  </w:style>
  <w:style w:type="character" w:styleId="PageNumber">
    <w:name w:val="page number"/>
    <w:basedOn w:val="DefaultParagraphFont"/>
    <w:uiPriority w:val="99"/>
    <w:semiHidden/>
    <w:unhideWhenUsed/>
    <w:rsid w:val="006C7E4C"/>
  </w:style>
  <w:style w:type="paragraph" w:styleId="BalloonText">
    <w:name w:val="Balloon Text"/>
    <w:basedOn w:val="Normal"/>
    <w:link w:val="BalloonTextChar"/>
    <w:uiPriority w:val="99"/>
    <w:semiHidden/>
    <w:unhideWhenUsed/>
    <w:rsid w:val="006C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E4C"/>
    <w:rPr>
      <w:rFonts w:ascii="Lucida Grande" w:hAnsi="Lucida Grande" w:cs="Lucida Grande"/>
      <w:sz w:val="18"/>
      <w:szCs w:val="18"/>
      <w:lang w:eastAsia="en-US"/>
    </w:rPr>
  </w:style>
  <w:style w:type="table" w:styleId="TableGrid">
    <w:name w:val="Table Grid"/>
    <w:basedOn w:val="TableNormal"/>
    <w:uiPriority w:val="59"/>
    <w:rsid w:val="00FC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9B7"/>
    <w:rPr>
      <w:sz w:val="18"/>
      <w:szCs w:val="18"/>
    </w:rPr>
  </w:style>
  <w:style w:type="paragraph" w:styleId="CommentText">
    <w:name w:val="annotation text"/>
    <w:basedOn w:val="Normal"/>
    <w:link w:val="CommentTextChar"/>
    <w:uiPriority w:val="99"/>
    <w:unhideWhenUsed/>
    <w:rsid w:val="003949B7"/>
  </w:style>
  <w:style w:type="character" w:customStyle="1" w:styleId="CommentTextChar">
    <w:name w:val="Comment Text Char"/>
    <w:basedOn w:val="DefaultParagraphFont"/>
    <w:link w:val="CommentText"/>
    <w:uiPriority w:val="99"/>
    <w:rsid w:val="003949B7"/>
    <w:rPr>
      <w:rFonts w:asciiTheme="majorHAnsi" w:hAnsiTheme="maj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3949B7"/>
    <w:rPr>
      <w:b/>
      <w:bCs/>
      <w:sz w:val="20"/>
      <w:szCs w:val="20"/>
    </w:rPr>
  </w:style>
  <w:style w:type="character" w:customStyle="1" w:styleId="CommentSubjectChar">
    <w:name w:val="Comment Subject Char"/>
    <w:basedOn w:val="CommentTextChar"/>
    <w:link w:val="CommentSubject"/>
    <w:uiPriority w:val="99"/>
    <w:semiHidden/>
    <w:rsid w:val="003949B7"/>
    <w:rPr>
      <w:rFonts w:asciiTheme="majorHAnsi" w:hAnsiTheme="majorHAnsi" w:cstheme="minorBidi"/>
      <w:b/>
      <w:bCs/>
      <w:sz w:val="24"/>
      <w:szCs w:val="24"/>
      <w:lang w:eastAsia="en-US"/>
    </w:rPr>
  </w:style>
  <w:style w:type="paragraph" w:styleId="Revision">
    <w:name w:val="Revision"/>
    <w:hidden/>
    <w:uiPriority w:val="99"/>
    <w:semiHidden/>
    <w:rsid w:val="00252F84"/>
    <w:rPr>
      <w:rFonts w:asciiTheme="majorHAnsi" w:hAnsiTheme="majorHAnsi" w:cstheme="minorBidi"/>
      <w:sz w:val="24"/>
      <w:szCs w:val="24"/>
      <w:lang w:eastAsia="en-US"/>
    </w:rPr>
  </w:style>
  <w:style w:type="paragraph" w:styleId="BodyText">
    <w:name w:val="Body Text"/>
    <w:basedOn w:val="Normal"/>
    <w:link w:val="BodyTextChar"/>
    <w:uiPriority w:val="1"/>
    <w:qFormat/>
    <w:rsid w:val="00C93276"/>
    <w:pPr>
      <w:widowControl w:val="0"/>
      <w:ind w:left="1005"/>
    </w:pPr>
    <w:rPr>
      <w:rFonts w:ascii="Calibri" w:eastAsia="Calibri" w:hAnsi="Calibri"/>
    </w:rPr>
  </w:style>
  <w:style w:type="character" w:customStyle="1" w:styleId="BodyTextChar">
    <w:name w:val="Body Text Char"/>
    <w:basedOn w:val="DefaultParagraphFont"/>
    <w:link w:val="BodyText"/>
    <w:uiPriority w:val="1"/>
    <w:rsid w:val="00C93276"/>
    <w:rPr>
      <w:rFonts w:ascii="Calibri" w:eastAsia="Calibri" w:hAnsi="Calibr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863">
      <w:bodyDiv w:val="1"/>
      <w:marLeft w:val="0"/>
      <w:marRight w:val="0"/>
      <w:marTop w:val="0"/>
      <w:marBottom w:val="0"/>
      <w:divBdr>
        <w:top w:val="none" w:sz="0" w:space="0" w:color="auto"/>
        <w:left w:val="none" w:sz="0" w:space="0" w:color="auto"/>
        <w:bottom w:val="none" w:sz="0" w:space="0" w:color="auto"/>
        <w:right w:val="none" w:sz="0" w:space="0" w:color="auto"/>
      </w:divBdr>
    </w:div>
    <w:div w:id="747188301">
      <w:bodyDiv w:val="1"/>
      <w:marLeft w:val="0"/>
      <w:marRight w:val="0"/>
      <w:marTop w:val="0"/>
      <w:marBottom w:val="0"/>
      <w:divBdr>
        <w:top w:val="none" w:sz="0" w:space="0" w:color="auto"/>
        <w:left w:val="none" w:sz="0" w:space="0" w:color="auto"/>
        <w:bottom w:val="none" w:sz="0" w:space="0" w:color="auto"/>
        <w:right w:val="none" w:sz="0" w:space="0" w:color="auto"/>
      </w:divBdr>
    </w:div>
    <w:div w:id="2142073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843A7528F51F45BD6A1C49888E73AC" ma:contentTypeVersion="11" ma:contentTypeDescription="Create a new document." ma:contentTypeScope="" ma:versionID="f63c99740ec031fc0eb1f8bc37a32190">
  <xsd:schema xmlns:xsd="http://www.w3.org/2001/XMLSchema" xmlns:xs="http://www.w3.org/2001/XMLSchema" xmlns:p="http://schemas.microsoft.com/office/2006/metadata/properties" xmlns:ns2="a393230c-8037-414e-8c0e-6961e843eb43" xmlns:ns3="29f22dd3-7b1d-4a33-b66f-2b5015095125" targetNamespace="http://schemas.microsoft.com/office/2006/metadata/properties" ma:root="true" ma:fieldsID="dcc65d0885462075e2e747c480fa1e0f" ns2:_="" ns3:_="">
    <xsd:import namespace="a393230c-8037-414e-8c0e-6961e843eb43"/>
    <xsd:import namespace="29f22dd3-7b1d-4a33-b66f-2b5015095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3230c-8037-414e-8c0e-6961e843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22dd3-7b1d-4a33-b66f-2b50150951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E2642-7BEC-4ACF-9F47-7DDB6F9CD68E}">
  <ds:schemaRefs>
    <ds:schemaRef ds:uri="http://schemas.microsoft.com/sharepoint/v3/contenttype/forms"/>
  </ds:schemaRefs>
</ds:datastoreItem>
</file>

<file path=customXml/itemProps2.xml><?xml version="1.0" encoding="utf-8"?>
<ds:datastoreItem xmlns:ds="http://schemas.openxmlformats.org/officeDocument/2006/customXml" ds:itemID="{05F10E82-C994-4116-96F1-B7D390DF5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80F8A-69A8-48C3-8459-BA0F53AAF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3230c-8037-414e-8c0e-6961e843eb43"/>
    <ds:schemaRef ds:uri="29f22dd3-7b1d-4a33-b66f-2b5015095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Dean's Office</dc:creator>
  <cp:lastModifiedBy>Cheryl Ernst</cp:lastModifiedBy>
  <cp:revision>3</cp:revision>
  <cp:lastPrinted>2019-12-30T23:45:00Z</cp:lastPrinted>
  <dcterms:created xsi:type="dcterms:W3CDTF">2022-06-28T00:53:00Z</dcterms:created>
  <dcterms:modified xsi:type="dcterms:W3CDTF">2022-06-28T00:54:00Z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0x0101002A843A7528F51F45BD6A1C49888E73AC</vt:lpwstr>
  </property>
</Properties>
</file>